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80DFD">
      <w:pPr>
        <w:spacing w:line="2108" w:lineRule="exact"/>
        <w:ind w:left="2104" w:right="1276" w:rightChars="580"/>
        <w:jc w:val="center"/>
        <w:rPr>
          <w:rFonts w:ascii="Malgun Gothic" w:eastAsia="Malgun Gothic"/>
          <w:b/>
          <w:color w:val="0000CC"/>
          <w:sz w:val="144"/>
          <w:lang w:eastAsia="zh-CN"/>
        </w:rPr>
      </w:pPr>
      <w:r>
        <w:drawing>
          <wp:anchor distT="0" distB="0" distL="114300" distR="114300" simplePos="0" relativeHeight="251659264" behindDoc="0" locked="0" layoutInCell="1" allowOverlap="1">
            <wp:simplePos x="0" y="0"/>
            <wp:positionH relativeFrom="column">
              <wp:posOffset>619125</wp:posOffset>
            </wp:positionH>
            <wp:positionV relativeFrom="paragraph">
              <wp:posOffset>1022350</wp:posOffset>
            </wp:positionV>
            <wp:extent cx="6334125" cy="3810000"/>
            <wp:effectExtent l="0" t="0" r="3175" b="0"/>
            <wp:wrapNone/>
            <wp:docPr id="1962273108" name="图片 1" descr="C:/Users/admin/Desktop/泰际大门照片.jpg泰际大门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73108" name="图片 1" descr="C:/Users/admin/Desktop/泰际大门照片.jpg泰际大门照片"/>
                    <pic:cNvPicPr>
                      <a:picLocks noChangeAspect="1" noChangeArrowheads="1"/>
                    </pic:cNvPicPr>
                  </pic:nvPicPr>
                  <pic:blipFill>
                    <a:blip r:embed="rId14"/>
                    <a:srcRect t="9900" b="9900"/>
                    <a:stretch>
                      <a:fillRect/>
                    </a:stretch>
                  </pic:blipFill>
                  <pic:spPr>
                    <a:xfrm>
                      <a:off x="0" y="0"/>
                      <a:ext cx="6334125" cy="3810000"/>
                    </a:xfrm>
                    <a:prstGeom prst="rect">
                      <a:avLst/>
                    </a:prstGeom>
                    <a:noFill/>
                    <a:ln>
                      <a:noFill/>
                    </a:ln>
                  </pic:spPr>
                </pic:pic>
              </a:graphicData>
            </a:graphic>
          </wp:anchor>
        </w:drawing>
      </w:r>
    </w:p>
    <w:p w14:paraId="50ED6DD6">
      <w:pPr>
        <w:spacing w:line="2108" w:lineRule="exact"/>
        <w:ind w:left="2104"/>
        <w:jc w:val="center"/>
        <w:rPr>
          <w:rFonts w:ascii="Malgun Gothic" w:eastAsiaTheme="minorEastAsia"/>
          <w:b/>
          <w:color w:val="0000CC"/>
          <w:sz w:val="144"/>
          <w:lang w:eastAsia="zh-CN"/>
        </w:rPr>
      </w:pPr>
    </w:p>
    <w:p w14:paraId="3F9B9D28">
      <w:pPr>
        <w:spacing w:line="2108" w:lineRule="exact"/>
        <w:ind w:left="2104"/>
        <w:jc w:val="center"/>
        <w:rPr>
          <w:rFonts w:ascii="Malgun Gothic" w:eastAsiaTheme="minorEastAsia"/>
          <w:b/>
          <w:color w:val="0000CC"/>
          <w:sz w:val="144"/>
          <w:lang w:eastAsia="zh-CN"/>
        </w:rPr>
      </w:pPr>
    </w:p>
    <w:p w14:paraId="321F8833">
      <w:pPr>
        <w:spacing w:line="2108" w:lineRule="exact"/>
        <w:ind w:left="2104"/>
        <w:jc w:val="center"/>
        <w:rPr>
          <w:rFonts w:ascii="Malgun Gothic" w:eastAsia="Malgun Gothic"/>
          <w:b/>
          <w:color w:val="0000CC"/>
          <w:sz w:val="144"/>
          <w:lang w:eastAsia="zh-CN"/>
        </w:rPr>
      </w:pPr>
    </w:p>
    <w:p w14:paraId="4FE8EF62">
      <w:pPr>
        <w:spacing w:line="2108" w:lineRule="exact"/>
        <w:ind w:left="2104" w:right="1419" w:rightChars="645"/>
        <w:jc w:val="right"/>
        <w:rPr>
          <w:rFonts w:ascii="Microsoft YaHei UI" w:eastAsia="Microsoft YaHei UI"/>
          <w:b/>
          <w:color w:val="0000CC"/>
          <w:sz w:val="72"/>
          <w:lang w:eastAsia="zh-CN"/>
        </w:rPr>
      </w:pPr>
      <w:r>
        <w:rPr>
          <w:rFonts w:hint="eastAsia" w:ascii="Malgun Gothic" w:eastAsia="Malgun Gothic"/>
          <w:b/>
          <w:color w:val="0000CC"/>
          <w:sz w:val="144"/>
          <w:lang w:eastAsia="zh-CN"/>
        </w:rPr>
        <w:t>2023</w:t>
      </w:r>
      <w:r>
        <w:rPr>
          <w:rFonts w:hint="eastAsia" w:ascii="Microsoft YaHei UI" w:eastAsia="Microsoft YaHei UI"/>
          <w:b/>
          <w:color w:val="0000CC"/>
          <w:sz w:val="72"/>
          <w:lang w:eastAsia="zh-CN"/>
        </w:rPr>
        <w:t>社会责任报告</w:t>
      </w:r>
    </w:p>
    <w:p w14:paraId="161439B4">
      <w:pPr>
        <w:ind w:right="1135" w:rightChars="516"/>
        <w:jc w:val="right"/>
        <w:rPr>
          <w:rFonts w:asciiTheme="minorEastAsia" w:hAnsiTheme="minorEastAsia" w:eastAsiaTheme="minorEastAsia"/>
          <w:b/>
          <w:color w:val="7E7E7E"/>
          <w:sz w:val="52"/>
          <w:lang w:eastAsia="zh-CN"/>
        </w:rPr>
      </w:pPr>
    </w:p>
    <w:p w14:paraId="4AF19887">
      <w:pPr>
        <w:ind w:right="1703" w:rightChars="774"/>
        <w:jc w:val="right"/>
        <w:rPr>
          <w:rFonts w:ascii="Times New Roman"/>
          <w:lang w:eastAsia="zh-CN"/>
        </w:rPr>
        <w:sectPr>
          <w:headerReference r:id="rId3" w:type="default"/>
          <w:footerReference r:id="rId4" w:type="default"/>
          <w:pgSz w:w="11910" w:h="16840"/>
          <w:pgMar w:top="1540" w:right="0" w:bottom="280" w:left="0" w:header="720" w:footer="0" w:gutter="0"/>
          <w:pgNumType w:start="1"/>
          <w:cols w:space="720" w:num="1"/>
          <w:titlePg/>
          <w:docGrid w:linePitch="299" w:charSpace="0"/>
        </w:sectPr>
      </w:pPr>
      <w:r>
        <w:rPr>
          <w:rFonts w:hint="eastAsia" w:asciiTheme="minorEastAsia" w:hAnsiTheme="minorEastAsia" w:eastAsiaTheme="minorEastAsia"/>
          <w:b/>
          <w:color w:val="7E7E7E"/>
          <w:sz w:val="52"/>
          <w:lang w:eastAsia="zh-CN"/>
        </w:rPr>
        <w:t>江苏</w:t>
      </w:r>
      <w:r>
        <w:rPr>
          <w:rFonts w:hint="eastAsia" w:asciiTheme="minorEastAsia" w:hAnsiTheme="minorEastAsia" w:eastAsiaTheme="minorEastAsia"/>
          <w:b/>
          <w:color w:val="7E7E7E"/>
          <w:sz w:val="52"/>
          <w:lang w:val="en-US" w:eastAsia="zh-CN"/>
        </w:rPr>
        <w:t>泰际</w:t>
      </w:r>
      <w:r>
        <w:rPr>
          <w:rFonts w:hint="eastAsia" w:asciiTheme="minorEastAsia" w:hAnsiTheme="minorEastAsia" w:eastAsiaTheme="minorEastAsia"/>
          <w:b/>
          <w:color w:val="7E7E7E"/>
          <w:sz w:val="52"/>
          <w:lang w:eastAsia="zh-CN"/>
        </w:rPr>
        <w:t>材料科技有限公司</w:t>
      </w:r>
    </w:p>
    <w:p w14:paraId="2D4AB6BB">
      <w:pPr>
        <w:pStyle w:val="18"/>
        <w:tabs>
          <w:tab w:val="left" w:pos="4035"/>
          <w:tab w:val="center" w:pos="4875"/>
        </w:tabs>
        <w:jc w:val="center"/>
        <w:rPr>
          <w:rFonts w:ascii="宋体" w:hAnsi="宋体" w:eastAsia="宋体"/>
          <w:sz w:val="48"/>
          <w:szCs w:val="48"/>
        </w:rPr>
      </w:pPr>
      <w:r>
        <w:rPr>
          <w:rFonts w:ascii="宋体" w:hAnsi="宋体" w:eastAsia="宋体"/>
          <w:b/>
          <w:bCs/>
          <w:sz w:val="48"/>
          <w:szCs w:val="48"/>
          <w:lang w:val="zh-CN"/>
        </w:rPr>
        <w:t>目录</w:t>
      </w:r>
    </w:p>
    <w:p w14:paraId="178086D1">
      <w:pPr>
        <w:pStyle w:val="8"/>
        <w:tabs>
          <w:tab w:val="right" w:leader="dot" w:pos="9923"/>
        </w:tabs>
        <w:rPr>
          <w:rFonts w:asciiTheme="minorHAnsi" w:hAnsiTheme="minorHAnsi" w:eastAsiaTheme="minorEastAsia" w:cstheme="minorBidi"/>
          <w:kern w:val="2"/>
          <w:sz w:val="21"/>
          <w:szCs w:val="22"/>
          <w:lang w:eastAsia="zh-CN"/>
          <w14:ligatures w14:val="standardContextual"/>
        </w:rPr>
      </w:pPr>
      <w:r>
        <w:rPr>
          <w:sz w:val="30"/>
          <w:szCs w:val="30"/>
        </w:rPr>
        <w:fldChar w:fldCharType="begin"/>
      </w:r>
      <w:r>
        <w:rPr>
          <w:sz w:val="30"/>
          <w:szCs w:val="30"/>
        </w:rPr>
        <w:instrText xml:space="preserve"> TOC \o "1-2" \h \z \u </w:instrText>
      </w:r>
      <w:r>
        <w:rPr>
          <w:sz w:val="30"/>
          <w:szCs w:val="30"/>
        </w:rPr>
        <w:fldChar w:fldCharType="separate"/>
      </w:r>
      <w:r>
        <w:fldChar w:fldCharType="begin"/>
      </w:r>
      <w:r>
        <w:instrText xml:space="preserve"> HYPERLINK \l "_Toc152057896" </w:instrText>
      </w:r>
      <w:r>
        <w:fldChar w:fldCharType="separate"/>
      </w:r>
      <w:r>
        <w:rPr>
          <w:rStyle w:val="13"/>
          <w:rFonts w:ascii="Microsoft YaHei UI" w:hAnsi="Microsoft YaHei UI" w:eastAsia="Microsoft YaHei UI" w:cs="Microsoft YaHei UI"/>
          <w:lang w:eastAsia="zh-CN"/>
        </w:rPr>
        <w:t>报告编制说明</w:t>
      </w:r>
      <w:r>
        <w:tab/>
      </w:r>
      <w:r>
        <w:fldChar w:fldCharType="begin"/>
      </w:r>
      <w:r>
        <w:instrText xml:space="preserve"> PAGEREF _Toc152057896 \h </w:instrText>
      </w:r>
      <w:r>
        <w:fldChar w:fldCharType="separate"/>
      </w:r>
      <w:r>
        <w:t>2</w:t>
      </w:r>
      <w:r>
        <w:fldChar w:fldCharType="end"/>
      </w:r>
      <w:r>
        <w:fldChar w:fldCharType="end"/>
      </w:r>
    </w:p>
    <w:p w14:paraId="38C0BB45">
      <w:pPr>
        <w:pStyle w:val="8"/>
        <w:tabs>
          <w:tab w:val="left" w:pos="270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"_Toc152057897" </w:instrText>
      </w:r>
      <w:r>
        <w:fldChar w:fldCharType="separate"/>
      </w:r>
      <w:r>
        <w:rPr>
          <w:rStyle w:val="13"/>
          <w:rFonts w:ascii="Times New Roman" w:hAnsi="Times New Roman" w:eastAsia="Times New Roman" w:cs="Times New Roman"/>
        </w:rPr>
        <w:t>01</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cs="Microsoft YaHei UI"/>
          <w:lang w:eastAsia="zh-CN"/>
        </w:rPr>
        <w:t>关于江苏</w:t>
      </w:r>
      <w:r>
        <w:rPr>
          <w:rStyle w:val="13"/>
          <w:rFonts w:hint="eastAsia" w:ascii="Microsoft YaHei UI" w:hAnsi="Microsoft YaHei UI" w:eastAsia="Microsoft YaHei UI" w:cs="Microsoft YaHei UI"/>
          <w:lang w:val="en-US" w:eastAsia="zh-CN"/>
        </w:rPr>
        <w:t>泰际</w:t>
      </w:r>
      <w:r>
        <w:rPr>
          <w:rStyle w:val="13"/>
          <w:rFonts w:ascii="Microsoft YaHei UI" w:hAnsi="Microsoft YaHei UI" w:eastAsia="Microsoft YaHei UI" w:cs="Microsoft YaHei UI"/>
          <w:lang w:eastAsia="zh-CN"/>
        </w:rPr>
        <w:t>材料科技有限公司</w:t>
      </w:r>
      <w:r>
        <w:tab/>
      </w:r>
      <w:r>
        <w:fldChar w:fldCharType="begin"/>
      </w:r>
      <w:r>
        <w:instrText xml:space="preserve"> PAGEREF _Toc152057897 \h </w:instrText>
      </w:r>
      <w:r>
        <w:fldChar w:fldCharType="separate"/>
      </w:r>
      <w:r>
        <w:t>3</w:t>
      </w:r>
      <w:r>
        <w:fldChar w:fldCharType="end"/>
      </w:r>
      <w:r>
        <w:fldChar w:fldCharType="end"/>
      </w:r>
    </w:p>
    <w:p w14:paraId="54DD1A82">
      <w:pPr>
        <w:pStyle w:val="9"/>
        <w:tabs>
          <w:tab w:val="left" w:pos="274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"_Toc152057898" </w:instrText>
      </w:r>
      <w:r>
        <w:fldChar w:fldCharType="separate"/>
      </w:r>
      <w:r>
        <w:rPr>
          <w:rStyle w:val="13"/>
          <w:rFonts w:ascii="Microsoft YaHei UI" w:hAnsi="Microsoft YaHei UI" w:eastAsia="Microsoft YaHei UI" w:cs="Microsoft YaHei UI"/>
          <w:w w:val="81"/>
        </w:rPr>
        <w:t>1.1</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rPr>
        <w:t>公司简介</w:t>
      </w:r>
      <w:r>
        <w:tab/>
      </w:r>
      <w:r>
        <w:fldChar w:fldCharType="begin"/>
      </w:r>
      <w:r>
        <w:instrText xml:space="preserve"> PAGEREF _Toc152057898 \h </w:instrText>
      </w:r>
      <w:r>
        <w:fldChar w:fldCharType="separate"/>
      </w:r>
      <w:r>
        <w:t>3</w:t>
      </w:r>
      <w:r>
        <w:fldChar w:fldCharType="end"/>
      </w:r>
      <w:r>
        <w:fldChar w:fldCharType="end"/>
      </w:r>
    </w:p>
    <w:p w14:paraId="414EE244">
      <w:pPr>
        <w:pStyle w:val="9"/>
        <w:tabs>
          <w:tab w:val="left" w:pos="274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"_Toc152057899" </w:instrText>
      </w:r>
      <w:r>
        <w:fldChar w:fldCharType="separate"/>
      </w:r>
      <w:r>
        <w:rPr>
          <w:rStyle w:val="13"/>
          <w:rFonts w:ascii="Microsoft YaHei UI" w:hAnsi="Microsoft YaHei UI" w:eastAsia="Microsoft YaHei UI" w:cs="Microsoft YaHei UI"/>
          <w:w w:val="81"/>
        </w:rPr>
        <w:t>1.2</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rPr>
        <w:t>组织架</w:t>
      </w:r>
      <w:r>
        <w:tab/>
      </w:r>
      <w:r>
        <w:fldChar w:fldCharType="begin"/>
      </w:r>
      <w:r>
        <w:instrText xml:space="preserve"> PAGEREF _Toc152057899 \h </w:instrText>
      </w:r>
      <w:r>
        <w:fldChar w:fldCharType="separate"/>
      </w:r>
      <w:r>
        <w:t>3</w:t>
      </w:r>
      <w:r>
        <w:fldChar w:fldCharType="end"/>
      </w:r>
      <w:r>
        <w:fldChar w:fldCharType="end"/>
      </w:r>
    </w:p>
    <w:p w14:paraId="0A4B19E8">
      <w:pPr>
        <w:pStyle w:val="9"/>
        <w:tabs>
          <w:tab w:val="left" w:pos="274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"_Toc152057900" </w:instrText>
      </w:r>
      <w:r>
        <w:fldChar w:fldCharType="separate"/>
      </w:r>
      <w:r>
        <w:rPr>
          <w:rStyle w:val="13"/>
          <w:rFonts w:ascii="Microsoft YaHei UI" w:hAnsi="Microsoft YaHei UI" w:eastAsia="Microsoft YaHei UI" w:cs="Microsoft YaHei UI"/>
          <w:w w:val="81"/>
        </w:rPr>
        <w:t>1.3</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rPr>
        <w:t>企业文化</w:t>
      </w:r>
      <w:r>
        <w:tab/>
      </w:r>
      <w:r>
        <w:fldChar w:fldCharType="begin"/>
      </w:r>
      <w:r>
        <w:instrText xml:space="preserve"> PAGEREF _Toc152057900 \h </w:instrText>
      </w:r>
      <w:r>
        <w:fldChar w:fldCharType="separate"/>
      </w:r>
      <w:r>
        <w:t>4</w:t>
      </w:r>
      <w:r>
        <w:fldChar w:fldCharType="end"/>
      </w:r>
      <w:r>
        <w:fldChar w:fldCharType="end"/>
      </w:r>
    </w:p>
    <w:p w14:paraId="7E2D8C87">
      <w:pPr>
        <w:pStyle w:val="9"/>
        <w:tabs>
          <w:tab w:val="left" w:pos="274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"_Toc152057901" </w:instrText>
      </w:r>
      <w:r>
        <w:fldChar w:fldCharType="separate"/>
      </w:r>
      <w:r>
        <w:rPr>
          <w:rStyle w:val="13"/>
          <w:rFonts w:ascii="Microsoft YaHei UI" w:hAnsi="Microsoft YaHei UI" w:eastAsia="Microsoft YaHei UI" w:cs="Microsoft YaHei UI"/>
          <w:w w:val="81"/>
        </w:rPr>
        <w:t>1.4</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rPr>
        <w:t>主要荣誉</w:t>
      </w:r>
      <w:r>
        <w:tab/>
      </w:r>
      <w:r>
        <w:fldChar w:fldCharType="begin"/>
      </w:r>
      <w:r>
        <w:instrText xml:space="preserve"> PAGEREF _Toc152057901 \h </w:instrText>
      </w:r>
      <w:r>
        <w:fldChar w:fldCharType="separate"/>
      </w:r>
      <w:r>
        <w:t>4</w:t>
      </w:r>
      <w:r>
        <w:fldChar w:fldCharType="end"/>
      </w:r>
      <w:r>
        <w:fldChar w:fldCharType="end"/>
      </w:r>
    </w:p>
    <w:p w14:paraId="3475208A">
      <w:pPr>
        <w:pStyle w:val="8"/>
        <w:tabs>
          <w:tab w:val="left" w:pos="270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"_Toc152057902" </w:instrText>
      </w:r>
      <w:r>
        <w:fldChar w:fldCharType="separate"/>
      </w:r>
      <w:r>
        <w:rPr>
          <w:rStyle w:val="13"/>
          <w:rFonts w:ascii="Times New Roman" w:hAnsi="Times New Roman" w:eastAsia="Times New Roman" w:cs="Times New Roman"/>
        </w:rPr>
        <w:t>02</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cs="Microsoft YaHei UI"/>
          <w:lang w:eastAsia="zh-CN"/>
        </w:rPr>
        <w:t>公司治理及商业道德</w:t>
      </w:r>
      <w:r>
        <w:tab/>
      </w:r>
      <w:r>
        <w:fldChar w:fldCharType="begin"/>
      </w:r>
      <w:r>
        <w:instrText xml:space="preserve"> PAGEREF _Toc152057902 \h </w:instrText>
      </w:r>
      <w:r>
        <w:fldChar w:fldCharType="separate"/>
      </w:r>
      <w:r>
        <w:t>5</w:t>
      </w:r>
      <w:r>
        <w:fldChar w:fldCharType="end"/>
      </w:r>
      <w:r>
        <w:fldChar w:fldCharType="end"/>
      </w:r>
    </w:p>
    <w:p w14:paraId="0C6E0D9A">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"_Toc152057903" </w:instrText>
      </w:r>
      <w:r>
        <w:fldChar w:fldCharType="separate"/>
      </w:r>
      <w:r>
        <w:rPr>
          <w:rStyle w:val="13"/>
          <w:rFonts w:ascii="Microsoft YaHei UI" w:hAnsi="Microsoft YaHei UI" w:eastAsia="Microsoft YaHei UI"/>
        </w:rPr>
        <w:t>2.1公司治理</w:t>
      </w:r>
      <w:r>
        <w:tab/>
      </w:r>
      <w:r>
        <w:fldChar w:fldCharType="begin"/>
      </w:r>
      <w:r>
        <w:instrText xml:space="preserve"> PAGEREF _Toc152057903 \h </w:instrText>
      </w:r>
      <w:r>
        <w:fldChar w:fldCharType="separate"/>
      </w:r>
      <w:r>
        <w:t>5</w:t>
      </w:r>
      <w:r>
        <w:fldChar w:fldCharType="end"/>
      </w:r>
      <w:r>
        <w:fldChar w:fldCharType="end"/>
      </w:r>
    </w:p>
    <w:p w14:paraId="750C7AA6">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"_Toc152057904" </w:instrText>
      </w:r>
      <w:r>
        <w:fldChar w:fldCharType="separate"/>
      </w:r>
      <w:r>
        <w:rPr>
          <w:rStyle w:val="13"/>
          <w:rFonts w:ascii="Microsoft YaHei UI" w:hAnsi="Microsoft YaHei UI" w:eastAsia="Microsoft YaHei UI"/>
          <w:lang w:eastAsia="zh-CN"/>
        </w:rPr>
        <w:t>2.2商业道德与反腐败</w:t>
      </w:r>
      <w:r>
        <w:tab/>
      </w:r>
      <w:r>
        <w:fldChar w:fldCharType="begin"/>
      </w:r>
      <w:r>
        <w:instrText xml:space="preserve"> PAGEREF _Toc152057904 \h </w:instrText>
      </w:r>
      <w:r>
        <w:fldChar w:fldCharType="separate"/>
      </w:r>
      <w:r>
        <w:t>5</w:t>
      </w:r>
      <w:r>
        <w:fldChar w:fldCharType="end"/>
      </w:r>
      <w:r>
        <w:fldChar w:fldCharType="end"/>
      </w:r>
    </w:p>
    <w:p w14:paraId="7ACA2ADC">
      <w:pPr>
        <w:pStyle w:val="8"/>
        <w:tabs>
          <w:tab w:val="left" w:pos="270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"_Toc152057905" </w:instrText>
      </w:r>
      <w:r>
        <w:fldChar w:fldCharType="separate"/>
      </w:r>
      <w:r>
        <w:rPr>
          <w:rStyle w:val="13"/>
          <w:rFonts w:ascii="Times New Roman" w:hAnsi="Times New Roman" w:eastAsia="Times New Roman" w:cs="Times New Roman"/>
        </w:rPr>
        <w:t>03</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cs="Microsoft YaHei UI"/>
          <w:lang w:eastAsia="zh-CN"/>
        </w:rPr>
        <w:t>环境保护与可持续发展</w:t>
      </w:r>
      <w:r>
        <w:tab/>
      </w:r>
      <w:r>
        <w:fldChar w:fldCharType="begin"/>
      </w:r>
      <w:r>
        <w:instrText xml:space="preserve"> PAGEREF _Toc152057905 \h </w:instrText>
      </w:r>
      <w:r>
        <w:fldChar w:fldCharType="separate"/>
      </w:r>
      <w:r>
        <w:t>6</w:t>
      </w:r>
      <w:r>
        <w:fldChar w:fldCharType="end"/>
      </w:r>
      <w:r>
        <w:fldChar w:fldCharType="end"/>
      </w:r>
    </w:p>
    <w:p w14:paraId="38DB442A">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"_Toc152057906" </w:instrText>
      </w:r>
      <w:r>
        <w:fldChar w:fldCharType="separate"/>
      </w:r>
      <w:r>
        <w:rPr>
          <w:rStyle w:val="13"/>
          <w:rFonts w:ascii="Microsoft YaHei UI" w:hAnsi="Microsoft YaHei UI" w:eastAsia="Microsoft YaHei UI"/>
          <w:lang w:eastAsia="zh-CN"/>
        </w:rPr>
        <w:t>3.1环境保护</w:t>
      </w:r>
      <w:r>
        <w:tab/>
      </w:r>
      <w:r>
        <w:fldChar w:fldCharType="begin"/>
      </w:r>
      <w:r>
        <w:instrText xml:space="preserve"> PAGEREF _Toc152057906 \h </w:instrText>
      </w:r>
      <w:r>
        <w:fldChar w:fldCharType="separate"/>
      </w:r>
      <w:r>
        <w:t>6</w:t>
      </w:r>
      <w:r>
        <w:fldChar w:fldCharType="end"/>
      </w:r>
      <w:r>
        <w:fldChar w:fldCharType="end"/>
      </w:r>
    </w:p>
    <w:p w14:paraId="4ED2DE0B">
      <w:pPr>
        <w:pStyle w:val="8"/>
        <w:tabs>
          <w:tab w:val="left" w:pos="270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"_Toc152057907" </w:instrText>
      </w:r>
      <w:r>
        <w:fldChar w:fldCharType="separate"/>
      </w:r>
      <w:r>
        <w:rPr>
          <w:rStyle w:val="13"/>
          <w:rFonts w:ascii="Times New Roman" w:hAnsi="Times New Roman" w:eastAsia="Times New Roman" w:cs="Times New Roman"/>
        </w:rPr>
        <w:t>04</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cs="Microsoft YaHei UI"/>
          <w:lang w:eastAsia="zh-CN"/>
        </w:rPr>
        <w:t>员工关爱</w:t>
      </w:r>
      <w:r>
        <w:tab/>
      </w:r>
      <w:r>
        <w:fldChar w:fldCharType="begin"/>
      </w:r>
      <w:r>
        <w:instrText xml:space="preserve"> PAGEREF _Toc152057907 \h </w:instrText>
      </w:r>
      <w:r>
        <w:fldChar w:fldCharType="separate"/>
      </w:r>
      <w:r>
        <w:t>10</w:t>
      </w:r>
      <w:r>
        <w:fldChar w:fldCharType="end"/>
      </w:r>
      <w:r>
        <w:fldChar w:fldCharType="end"/>
      </w:r>
    </w:p>
    <w:p w14:paraId="0A9D1D39">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"_Toc152057908" </w:instrText>
      </w:r>
      <w:r>
        <w:fldChar w:fldCharType="separate"/>
      </w:r>
      <w:r>
        <w:rPr>
          <w:rStyle w:val="13"/>
          <w:rFonts w:ascii="Microsoft YaHei UI" w:hAnsi="Microsoft YaHei UI" w:eastAsia="Microsoft YaHei UI"/>
          <w:lang w:eastAsia="zh-CN"/>
        </w:rPr>
        <w:t>4.1员工权益和福利</w:t>
      </w:r>
      <w:r>
        <w:tab/>
      </w:r>
      <w:r>
        <w:fldChar w:fldCharType="begin"/>
      </w:r>
      <w:r>
        <w:instrText xml:space="preserve"> PAGEREF _Toc152057908 \h </w:instrText>
      </w:r>
      <w:r>
        <w:fldChar w:fldCharType="separate"/>
      </w:r>
      <w:r>
        <w:t>10</w:t>
      </w:r>
      <w:r>
        <w:fldChar w:fldCharType="end"/>
      </w:r>
      <w:r>
        <w:fldChar w:fldCharType="end"/>
      </w:r>
    </w:p>
    <w:p w14:paraId="4876C349">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"_Toc152057909" </w:instrText>
      </w:r>
      <w:r>
        <w:fldChar w:fldCharType="separate"/>
      </w:r>
      <w:r>
        <w:rPr>
          <w:rStyle w:val="13"/>
          <w:rFonts w:ascii="Microsoft YaHei UI" w:hAnsi="Microsoft YaHei UI" w:eastAsia="Microsoft YaHei UI"/>
          <w:lang w:eastAsia="zh-CN"/>
        </w:rPr>
        <w:t>4.2员工职业健康与安全</w:t>
      </w:r>
      <w:r>
        <w:tab/>
      </w:r>
      <w:r>
        <w:fldChar w:fldCharType="begin"/>
      </w:r>
      <w:r>
        <w:instrText xml:space="preserve"> PAGEREF _Toc152057909 \h </w:instrText>
      </w:r>
      <w:r>
        <w:fldChar w:fldCharType="separate"/>
      </w:r>
      <w:r>
        <w:t>10</w:t>
      </w:r>
      <w:r>
        <w:fldChar w:fldCharType="end"/>
      </w:r>
      <w:r>
        <w:fldChar w:fldCharType="end"/>
      </w:r>
    </w:p>
    <w:p w14:paraId="0F2EAE79">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"_Toc152057910" </w:instrText>
      </w:r>
      <w:r>
        <w:fldChar w:fldCharType="separate"/>
      </w:r>
      <w:r>
        <w:rPr>
          <w:rStyle w:val="13"/>
          <w:rFonts w:ascii="Microsoft YaHei UI" w:hAnsi="Microsoft YaHei UI" w:eastAsia="Microsoft YaHei UI"/>
          <w:lang w:eastAsia="zh-CN"/>
        </w:rPr>
        <w:t>4.3员工培训与发展</w:t>
      </w:r>
      <w:r>
        <w:tab/>
      </w:r>
      <w:r>
        <w:fldChar w:fldCharType="begin"/>
      </w:r>
      <w:r>
        <w:instrText xml:space="preserve"> PAGEREF _Toc152057910 \h </w:instrText>
      </w:r>
      <w:r>
        <w:fldChar w:fldCharType="separate"/>
      </w:r>
      <w:r>
        <w:t>12</w:t>
      </w:r>
      <w:r>
        <w:fldChar w:fldCharType="end"/>
      </w:r>
      <w:r>
        <w:fldChar w:fldCharType="end"/>
      </w:r>
    </w:p>
    <w:p w14:paraId="0CE82177">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"_Toc152057911" </w:instrText>
      </w:r>
      <w:r>
        <w:fldChar w:fldCharType="separate"/>
      </w:r>
      <w:r>
        <w:rPr>
          <w:rStyle w:val="13"/>
          <w:rFonts w:ascii="Microsoft YaHei UI" w:hAnsi="Microsoft YaHei UI" w:eastAsia="Microsoft YaHei UI"/>
          <w:lang w:eastAsia="zh-CN"/>
        </w:rPr>
        <w:t>4.4员工民主管理</w:t>
      </w:r>
      <w:r>
        <w:tab/>
      </w:r>
      <w:r>
        <w:fldChar w:fldCharType="begin"/>
      </w:r>
      <w:r>
        <w:instrText xml:space="preserve"> PAGEREF _Toc152057911 \h </w:instrText>
      </w:r>
      <w:r>
        <w:fldChar w:fldCharType="separate"/>
      </w:r>
      <w:r>
        <w:t>13</w:t>
      </w:r>
      <w:r>
        <w:fldChar w:fldCharType="end"/>
      </w:r>
      <w:r>
        <w:fldChar w:fldCharType="end"/>
      </w:r>
    </w:p>
    <w:p w14:paraId="40588CF9">
      <w:pPr>
        <w:pStyle w:val="8"/>
        <w:tabs>
          <w:tab w:val="left" w:pos="270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"_Toc152057912" </w:instrText>
      </w:r>
      <w:r>
        <w:fldChar w:fldCharType="separate"/>
      </w:r>
      <w:r>
        <w:rPr>
          <w:rStyle w:val="13"/>
          <w:rFonts w:ascii="Times New Roman" w:hAnsi="Times New Roman" w:eastAsia="Times New Roman" w:cs="Times New Roman"/>
        </w:rPr>
        <w:t>05</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cs="Microsoft YaHei UI"/>
          <w:lang w:eastAsia="zh-CN"/>
        </w:rPr>
        <w:t>供应商和客户权益保护</w:t>
      </w:r>
      <w:r>
        <w:tab/>
      </w:r>
      <w:r>
        <w:fldChar w:fldCharType="begin"/>
      </w:r>
      <w:r>
        <w:instrText xml:space="preserve"> PAGEREF _Toc152057912 \h </w:instrText>
      </w:r>
      <w:r>
        <w:fldChar w:fldCharType="separate"/>
      </w:r>
      <w:r>
        <w:t>14</w:t>
      </w:r>
      <w:r>
        <w:fldChar w:fldCharType="end"/>
      </w:r>
      <w:r>
        <w:fldChar w:fldCharType="end"/>
      </w:r>
    </w:p>
    <w:p w14:paraId="202515E2">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"_Toc152057913" </w:instrText>
      </w:r>
      <w:r>
        <w:fldChar w:fldCharType="separate"/>
      </w:r>
      <w:r>
        <w:rPr>
          <w:rStyle w:val="13"/>
          <w:rFonts w:ascii="Microsoft YaHei UI" w:hAnsi="Microsoft YaHei UI" w:eastAsia="Microsoft YaHei UI"/>
          <w:lang w:eastAsia="zh-CN"/>
        </w:rPr>
        <w:t>5.1诚信对待供应商和客户</w:t>
      </w:r>
      <w:r>
        <w:tab/>
      </w:r>
      <w:r>
        <w:fldChar w:fldCharType="begin"/>
      </w:r>
      <w:r>
        <w:instrText xml:space="preserve"> PAGEREF _Toc152057913 \h </w:instrText>
      </w:r>
      <w:r>
        <w:fldChar w:fldCharType="separate"/>
      </w:r>
      <w:r>
        <w:t>14</w:t>
      </w:r>
      <w:r>
        <w:fldChar w:fldCharType="end"/>
      </w:r>
      <w:r>
        <w:fldChar w:fldCharType="end"/>
      </w:r>
    </w:p>
    <w:p w14:paraId="49C54862">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"_Toc152057914" </w:instrText>
      </w:r>
      <w:r>
        <w:fldChar w:fldCharType="separate"/>
      </w:r>
      <w:r>
        <w:rPr>
          <w:rStyle w:val="13"/>
          <w:rFonts w:ascii="Microsoft YaHei UI" w:hAnsi="Microsoft YaHei UI" w:eastAsia="Microsoft YaHei UI"/>
          <w:lang w:eastAsia="zh-CN"/>
        </w:rPr>
        <w:t>5.2构建绿色供应链</w:t>
      </w:r>
      <w:r>
        <w:tab/>
      </w:r>
      <w:r>
        <w:fldChar w:fldCharType="begin"/>
      </w:r>
      <w:r>
        <w:instrText xml:space="preserve"> PAGEREF _Toc152057914 \h </w:instrText>
      </w:r>
      <w:r>
        <w:fldChar w:fldCharType="separate"/>
      </w:r>
      <w:r>
        <w:t>14</w:t>
      </w:r>
      <w:r>
        <w:fldChar w:fldCharType="end"/>
      </w:r>
      <w:r>
        <w:fldChar w:fldCharType="end"/>
      </w:r>
    </w:p>
    <w:p w14:paraId="3076A3CE">
      <w:pPr>
        <w:pStyle w:val="8"/>
        <w:tabs>
          <w:tab w:val="left" w:pos="2709"/>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"_Toc152057915" </w:instrText>
      </w:r>
      <w:r>
        <w:fldChar w:fldCharType="separate"/>
      </w:r>
      <w:r>
        <w:rPr>
          <w:rStyle w:val="13"/>
          <w:rFonts w:ascii="Times New Roman" w:hAnsi="Times New Roman" w:eastAsia="Times New Roman" w:cs="Times New Roman"/>
        </w:rPr>
        <w:t>06</w:t>
      </w:r>
      <w:r>
        <w:rPr>
          <w:rFonts w:asciiTheme="minorHAnsi" w:hAnsiTheme="minorHAnsi" w:eastAsiaTheme="minorEastAsia" w:cstheme="minorBidi"/>
          <w:kern w:val="2"/>
          <w:sz w:val="21"/>
          <w:szCs w:val="22"/>
          <w:lang w:eastAsia="zh-CN"/>
          <w14:ligatures w14:val="standardContextual"/>
        </w:rPr>
        <w:tab/>
      </w:r>
      <w:r>
        <w:rPr>
          <w:rStyle w:val="13"/>
          <w:rFonts w:ascii="Microsoft YaHei UI" w:hAnsi="Microsoft YaHei UI" w:eastAsia="Microsoft YaHei UI" w:cs="Microsoft YaHei UI"/>
          <w:lang w:eastAsia="zh-CN"/>
        </w:rPr>
        <w:t>公共关系及社会公益事业</w:t>
      </w:r>
      <w:r>
        <w:tab/>
      </w:r>
      <w:r>
        <w:fldChar w:fldCharType="begin"/>
      </w:r>
      <w:r>
        <w:instrText xml:space="preserve"> PAGEREF _Toc152057915 \h </w:instrText>
      </w:r>
      <w:r>
        <w:fldChar w:fldCharType="separate"/>
      </w:r>
      <w:r>
        <w:t>15</w:t>
      </w:r>
      <w:r>
        <w:fldChar w:fldCharType="end"/>
      </w:r>
      <w:r>
        <w:fldChar w:fldCharType="end"/>
      </w:r>
    </w:p>
    <w:p w14:paraId="5276E542">
      <w:pPr>
        <w:pStyle w:val="9"/>
        <w:tabs>
          <w:tab w:val="right" w:leader="dot" w:pos="9923"/>
        </w:tabs>
        <w:rPr>
          <w:rFonts w:asciiTheme="minorHAnsi" w:hAnsiTheme="minorHAnsi" w:eastAsiaTheme="minorEastAsia" w:cstheme="minorBidi"/>
          <w:kern w:val="2"/>
          <w:sz w:val="21"/>
          <w:szCs w:val="22"/>
          <w:lang w:eastAsia="zh-CN"/>
          <w14:ligatures w14:val="standardContextual"/>
        </w:rPr>
      </w:pPr>
      <w:r>
        <w:fldChar w:fldCharType="begin"/>
      </w:r>
      <w:r>
        <w:instrText xml:space="preserve"> HYPERLINK \l "_Toc152057916" </w:instrText>
      </w:r>
      <w:r>
        <w:fldChar w:fldCharType="separate"/>
      </w:r>
      <w:r>
        <w:rPr>
          <w:rStyle w:val="13"/>
          <w:rFonts w:ascii="Microsoft YaHei UI" w:hAnsi="Microsoft YaHei UI" w:eastAsia="Microsoft YaHei UI"/>
          <w:lang w:eastAsia="zh-CN"/>
        </w:rPr>
        <w:t>6.1社会公益</w:t>
      </w:r>
      <w:r>
        <w:tab/>
      </w:r>
      <w:r>
        <w:fldChar w:fldCharType="begin"/>
      </w:r>
      <w:r>
        <w:instrText xml:space="preserve"> PAGEREF _Toc152057916 \h </w:instrText>
      </w:r>
      <w:r>
        <w:fldChar w:fldCharType="separate"/>
      </w:r>
      <w:r>
        <w:t>15</w:t>
      </w:r>
      <w:r>
        <w:fldChar w:fldCharType="end"/>
      </w:r>
      <w:r>
        <w:fldChar w:fldCharType="end"/>
      </w:r>
    </w:p>
    <w:p w14:paraId="01654094">
      <w:pPr>
        <w:rPr>
          <w:sz w:val="30"/>
          <w:szCs w:val="30"/>
        </w:rPr>
      </w:pPr>
      <w:r>
        <w:rPr>
          <w:sz w:val="30"/>
          <w:szCs w:val="30"/>
        </w:rPr>
        <w:fldChar w:fldCharType="end"/>
      </w:r>
    </w:p>
    <w:p w14:paraId="598DD540">
      <w:pPr>
        <w:ind w:right="229" w:rightChars="104"/>
        <w:rPr>
          <w:sz w:val="30"/>
          <w:szCs w:val="30"/>
        </w:rPr>
      </w:pPr>
    </w:p>
    <w:p w14:paraId="740C0FFD">
      <w:pPr>
        <w:pStyle w:val="2"/>
        <w:keepNext w:val="0"/>
        <w:keepLines w:val="0"/>
        <w:tabs>
          <w:tab w:val="left" w:pos="7675"/>
        </w:tabs>
        <w:spacing w:before="206" w:after="0" w:line="240" w:lineRule="auto"/>
        <w:ind w:left="1558" w:leftChars="708" w:firstLine="2"/>
        <w:rPr>
          <w:lang w:eastAsia="zh-CN"/>
        </w:rPr>
      </w:pPr>
      <w:bookmarkStart w:id="0" w:name="_Toc152057896"/>
      <w:bookmarkStart w:id="1" w:name="_Toc151985178"/>
      <w:r>
        <w:rPr>
          <w:rFonts w:ascii="Microsoft YaHei UI" w:hAnsi="Microsoft YaHei UI" w:eastAsia="Microsoft YaHei UI" w:cs="Microsoft YaHei UI"/>
          <w:kern w:val="0"/>
          <w:sz w:val="30"/>
          <w:szCs w:val="30"/>
          <w:lang w:eastAsia="zh-CN"/>
        </w:rPr>
        <w:t>报告编制说明</w:t>
      </w:r>
      <w:bookmarkEnd w:id="0"/>
      <w:bookmarkEnd w:id="1"/>
      <w:r>
        <w:rPr>
          <w:rFonts w:hint="eastAsia" w:ascii="Microsoft YaHei UI" w:hAnsi="Microsoft YaHei UI" w:eastAsia="Microsoft YaHei UI" w:cs="Microsoft YaHei UI"/>
          <w:kern w:val="0"/>
          <w:sz w:val="30"/>
          <w:szCs w:val="30"/>
          <w:lang w:eastAsia="zh-CN"/>
        </w:rPr>
        <w:t xml:space="preserve"> </w:t>
      </w:r>
      <w:r>
        <w:rPr>
          <w:lang w:eastAsia="zh-CN"/>
        </w:rPr>
        <w:tab/>
      </w:r>
    </w:p>
    <w:p w14:paraId="0DCE5061">
      <w:pPr>
        <w:pStyle w:val="5"/>
        <w:spacing w:before="106" w:line="314" w:lineRule="auto"/>
        <w:ind w:left="1417" w:leftChars="644" w:firstLine="566" w:firstLineChars="238"/>
        <w:rPr>
          <w:spacing w:val="-1"/>
          <w:lang w:eastAsia="zh-CN"/>
        </w:rPr>
      </w:pPr>
      <w:r>
        <w:rPr>
          <w:spacing w:val="-1"/>
          <w:lang w:eastAsia="zh-CN"/>
        </w:rPr>
        <w:t>本报告为</w:t>
      </w:r>
      <w:r>
        <w:rPr>
          <w:rFonts w:hint="eastAsia"/>
          <w:spacing w:val="-1"/>
          <w:lang w:eastAsia="zh-CN"/>
        </w:rPr>
        <w:t>江</w:t>
      </w:r>
      <w:r>
        <w:rPr>
          <w:rFonts w:hint="eastAsia"/>
          <w:spacing w:val="-1"/>
          <w:lang w:val="en-US" w:eastAsia="zh-CN"/>
        </w:rPr>
        <w:t>苏泰际</w:t>
      </w:r>
      <w:r>
        <w:rPr>
          <w:rFonts w:hint="eastAsia"/>
          <w:spacing w:val="-1"/>
          <w:lang w:eastAsia="zh-CN"/>
        </w:rPr>
        <w:t>材料科技有限公司</w:t>
      </w:r>
      <w:r>
        <w:rPr>
          <w:spacing w:val="-1"/>
          <w:lang w:eastAsia="zh-CN"/>
        </w:rPr>
        <w:t>（以下简称“</w:t>
      </w:r>
      <w:r>
        <w:rPr>
          <w:rFonts w:hint="eastAsia"/>
          <w:spacing w:val="-1"/>
          <w:lang w:eastAsia="zh-CN"/>
        </w:rPr>
        <w:t>江苏泰际</w:t>
      </w:r>
      <w:r>
        <w:rPr>
          <w:spacing w:val="-1"/>
          <w:lang w:eastAsia="zh-CN"/>
        </w:rPr>
        <w:t>”或“</w:t>
      </w:r>
      <w:r>
        <w:rPr>
          <w:rFonts w:hint="eastAsia"/>
          <w:spacing w:val="-1"/>
          <w:lang w:eastAsia="zh-CN"/>
        </w:rPr>
        <w:t>公司</w:t>
      </w:r>
      <w:r>
        <w:rPr>
          <w:spacing w:val="-1"/>
          <w:lang w:eastAsia="zh-CN"/>
        </w:rPr>
        <w:t xml:space="preserve">”）对外发布的企业社会责任报告，重点披露公司 </w:t>
      </w:r>
      <w:r>
        <w:rPr>
          <w:rFonts w:hint="eastAsia"/>
          <w:spacing w:val="-1"/>
          <w:lang w:eastAsia="zh-CN"/>
        </w:rPr>
        <w:t>2023</w:t>
      </w:r>
      <w:r>
        <w:rPr>
          <w:spacing w:val="-1"/>
          <w:lang w:eastAsia="zh-CN"/>
        </w:rPr>
        <w:t xml:space="preserve"> 年度在环境、社会和公司治理等方面的社会责任履行情况，以帮助投资者、合作伙伴、员工、社会公众等利益相关方增加对公司社会责任活动的支持和理解。</w:t>
      </w:r>
    </w:p>
    <w:p w14:paraId="3EEE4945">
      <w:pPr>
        <w:pStyle w:val="4"/>
        <w:keepNext w:val="0"/>
        <w:keepLines w:val="0"/>
        <w:spacing w:before="0" w:after="0" w:line="365" w:lineRule="exact"/>
        <w:ind w:firstLine="1986" w:firstLineChars="827"/>
        <w:rPr>
          <w:rFonts w:ascii="Microsoft YaHei UI" w:hAnsi="Microsoft YaHei UI" w:eastAsia="Microsoft YaHei UI" w:cs="Microsoft YaHei UI"/>
          <w:color w:val="6F9C56"/>
          <w:sz w:val="24"/>
          <w:szCs w:val="24"/>
          <w:lang w:eastAsia="zh-CN"/>
        </w:rPr>
      </w:pPr>
      <w:bookmarkStart w:id="2" w:name="_Toc151982063"/>
      <w:r>
        <w:rPr>
          <w:rFonts w:ascii="Microsoft YaHei UI" w:hAnsi="Microsoft YaHei UI" w:eastAsia="Microsoft YaHei UI" w:cs="Microsoft YaHei UI"/>
          <w:color w:val="6F9C56"/>
          <w:sz w:val="24"/>
          <w:szCs w:val="24"/>
          <w:lang w:eastAsia="zh-CN"/>
        </w:rPr>
        <w:t>发布周期</w:t>
      </w:r>
      <w:bookmarkEnd w:id="2"/>
    </w:p>
    <w:p w14:paraId="567DA01A">
      <w:pPr>
        <w:pStyle w:val="5"/>
        <w:spacing w:before="106" w:line="314" w:lineRule="auto"/>
        <w:ind w:left="1417" w:leftChars="644" w:firstLine="566" w:firstLineChars="238"/>
        <w:rPr>
          <w:spacing w:val="-1"/>
          <w:lang w:eastAsia="zh-CN"/>
        </w:rPr>
      </w:pPr>
      <w:r>
        <w:rPr>
          <w:spacing w:val="-1"/>
          <w:lang w:eastAsia="zh-CN"/>
        </w:rPr>
        <w:t>本报告为年度报告，是</w:t>
      </w:r>
      <w:r>
        <w:rPr>
          <w:rFonts w:hint="eastAsia"/>
          <w:spacing w:val="-1"/>
          <w:lang w:eastAsia="zh-CN"/>
        </w:rPr>
        <w:t>江苏泰际</w:t>
      </w:r>
      <w:r>
        <w:rPr>
          <w:spacing w:val="-1"/>
          <w:lang w:eastAsia="zh-CN"/>
        </w:rPr>
        <w:t>对外发布的企业社会责任报告。</w:t>
      </w:r>
    </w:p>
    <w:p w14:paraId="2C73DC97">
      <w:pPr>
        <w:pStyle w:val="4"/>
        <w:keepNext w:val="0"/>
        <w:keepLines w:val="0"/>
        <w:spacing w:before="0" w:after="0" w:line="365" w:lineRule="exact"/>
        <w:ind w:firstLine="1986" w:firstLineChars="827"/>
        <w:rPr>
          <w:rFonts w:ascii="Microsoft YaHei UI" w:hAnsi="Microsoft YaHei UI" w:eastAsia="Microsoft YaHei UI" w:cs="Microsoft YaHei UI"/>
          <w:color w:val="6F9C56"/>
          <w:sz w:val="24"/>
          <w:szCs w:val="24"/>
          <w:lang w:eastAsia="zh-CN"/>
        </w:rPr>
      </w:pPr>
      <w:bookmarkStart w:id="3" w:name="_Toc151982064"/>
      <w:r>
        <w:rPr>
          <w:rFonts w:hint="eastAsia" w:ascii="Microsoft YaHei UI" w:hAnsi="Microsoft YaHei UI" w:eastAsia="Microsoft YaHei UI" w:cs="Microsoft YaHei UI"/>
          <w:color w:val="6F9C56"/>
          <w:sz w:val="24"/>
          <w:szCs w:val="24"/>
          <w:lang w:eastAsia="zh-CN"/>
        </w:rPr>
        <w:t>时间范围</w:t>
      </w:r>
      <w:bookmarkEnd w:id="3"/>
    </w:p>
    <w:p w14:paraId="73E249D8">
      <w:pPr>
        <w:pStyle w:val="5"/>
        <w:spacing w:before="106" w:line="314" w:lineRule="auto"/>
        <w:ind w:left="1417" w:leftChars="644" w:firstLine="566" w:firstLineChars="238"/>
        <w:rPr>
          <w:spacing w:val="-1"/>
          <w:lang w:eastAsia="zh-CN"/>
        </w:rPr>
      </w:pPr>
      <w:r>
        <w:rPr>
          <w:rFonts w:hint="eastAsia"/>
          <w:color w:val="auto"/>
          <w:spacing w:val="-1"/>
          <w:lang w:eastAsia="zh-CN"/>
        </w:rPr>
        <w:t>2023</w:t>
      </w:r>
      <w:r>
        <w:rPr>
          <w:color w:val="auto"/>
          <w:spacing w:val="-1"/>
          <w:lang w:eastAsia="zh-CN"/>
        </w:rPr>
        <w:t xml:space="preserve"> 年1月1日至 </w:t>
      </w:r>
      <w:r>
        <w:rPr>
          <w:rFonts w:hint="eastAsia"/>
          <w:color w:val="auto"/>
          <w:spacing w:val="-1"/>
          <w:lang w:eastAsia="zh-CN"/>
        </w:rPr>
        <w:t>2023</w:t>
      </w:r>
      <w:r>
        <w:rPr>
          <w:color w:val="auto"/>
          <w:spacing w:val="-1"/>
          <w:lang w:eastAsia="zh-CN"/>
        </w:rPr>
        <w:t>年12月31日，部</w:t>
      </w:r>
      <w:r>
        <w:rPr>
          <w:spacing w:val="-1"/>
          <w:lang w:eastAsia="zh-CN"/>
        </w:rPr>
        <w:t>分内容在上述时间范围前后有所延伸。</w:t>
      </w:r>
    </w:p>
    <w:p w14:paraId="4B37DE20">
      <w:pPr>
        <w:pStyle w:val="4"/>
        <w:keepNext w:val="0"/>
        <w:keepLines w:val="0"/>
        <w:spacing w:before="0" w:after="0" w:line="365" w:lineRule="exact"/>
        <w:ind w:firstLine="1986" w:firstLineChars="827"/>
        <w:rPr>
          <w:rFonts w:ascii="Microsoft YaHei UI" w:hAnsi="Microsoft YaHei UI" w:eastAsia="Microsoft YaHei UI" w:cs="Microsoft YaHei UI"/>
          <w:color w:val="6F9C56"/>
          <w:sz w:val="24"/>
          <w:szCs w:val="24"/>
          <w:lang w:eastAsia="zh-CN"/>
        </w:rPr>
      </w:pPr>
      <w:bookmarkStart w:id="4" w:name="_Toc151982065"/>
      <w:r>
        <w:rPr>
          <w:rFonts w:ascii="Microsoft YaHei UI" w:hAnsi="Microsoft YaHei UI" w:eastAsia="Microsoft YaHei UI" w:cs="Microsoft YaHei UI"/>
          <w:color w:val="6F9C56"/>
          <w:sz w:val="24"/>
          <w:szCs w:val="24"/>
          <w:lang w:eastAsia="zh-CN"/>
        </w:rPr>
        <w:t>报告边界</w:t>
      </w:r>
      <w:bookmarkEnd w:id="4"/>
    </w:p>
    <w:p w14:paraId="395158CD">
      <w:pPr>
        <w:pStyle w:val="5"/>
        <w:spacing w:before="106" w:line="314" w:lineRule="auto"/>
        <w:ind w:left="1417" w:leftChars="644" w:firstLine="566" w:firstLineChars="238"/>
        <w:rPr>
          <w:spacing w:val="-1"/>
          <w:lang w:eastAsia="zh-CN"/>
        </w:rPr>
      </w:pPr>
      <w:r>
        <w:rPr>
          <w:spacing w:val="-1"/>
          <w:lang w:eastAsia="zh-CN"/>
        </w:rPr>
        <w:t>本报告涵盖</w:t>
      </w:r>
      <w:r>
        <w:rPr>
          <w:rFonts w:hint="eastAsia"/>
          <w:spacing w:val="-1"/>
          <w:lang w:eastAsia="zh-CN"/>
        </w:rPr>
        <w:t>江苏泰际工厂范围</w:t>
      </w:r>
      <w:r>
        <w:rPr>
          <w:spacing w:val="-1"/>
          <w:lang w:eastAsia="zh-CN"/>
        </w:rPr>
        <w:t>，与财务</w:t>
      </w:r>
      <w:r>
        <w:rPr>
          <w:rFonts w:hint="eastAsia"/>
          <w:spacing w:val="-1"/>
          <w:lang w:eastAsia="zh-CN"/>
        </w:rPr>
        <w:t>年度</w:t>
      </w:r>
      <w:r>
        <w:rPr>
          <w:spacing w:val="-1"/>
          <w:lang w:eastAsia="zh-CN"/>
        </w:rPr>
        <w:t>报表中所涵盖的实体一致。</w:t>
      </w:r>
    </w:p>
    <w:p w14:paraId="00C88EE3">
      <w:pPr>
        <w:pStyle w:val="4"/>
        <w:keepNext w:val="0"/>
        <w:keepLines w:val="0"/>
        <w:spacing w:before="0" w:after="0" w:line="365" w:lineRule="exact"/>
        <w:ind w:firstLine="1986" w:firstLineChars="827"/>
        <w:rPr>
          <w:rFonts w:ascii="Microsoft YaHei UI" w:hAnsi="Microsoft YaHei UI" w:eastAsia="Microsoft YaHei UI" w:cs="Microsoft YaHei UI"/>
          <w:color w:val="6F9C56"/>
          <w:sz w:val="24"/>
          <w:szCs w:val="24"/>
          <w:lang w:eastAsia="zh-CN"/>
        </w:rPr>
      </w:pPr>
      <w:bookmarkStart w:id="5" w:name="_Toc151982066"/>
      <w:r>
        <w:rPr>
          <w:rFonts w:ascii="Microsoft YaHei UI" w:hAnsi="Microsoft YaHei UI" w:eastAsia="Microsoft YaHei UI" w:cs="Microsoft YaHei UI"/>
          <w:color w:val="6F9C56"/>
          <w:sz w:val="24"/>
          <w:szCs w:val="24"/>
          <w:lang w:eastAsia="zh-CN"/>
        </w:rPr>
        <w:t>编写依据</w:t>
      </w:r>
      <w:bookmarkEnd w:id="5"/>
    </w:p>
    <w:p w14:paraId="291E48D9">
      <w:pPr>
        <w:pStyle w:val="5"/>
        <w:spacing w:before="106" w:line="314" w:lineRule="auto"/>
        <w:ind w:left="1417" w:leftChars="644" w:firstLine="566" w:firstLineChars="238"/>
        <w:rPr>
          <w:spacing w:val="-1"/>
          <w:lang w:eastAsia="zh-CN"/>
        </w:rPr>
      </w:pPr>
      <w:r>
        <w:rPr>
          <w:spacing w:val="-1"/>
          <w:lang w:eastAsia="zh-CN"/>
        </w:rPr>
        <w:t>本报告主要依据《中国企业社会责任报告编写指南》等基本原则，结合公司在履行社会责任方面的具体情况进行编制。</w:t>
      </w:r>
    </w:p>
    <w:p w14:paraId="09DD7106">
      <w:pPr>
        <w:pStyle w:val="4"/>
        <w:keepNext w:val="0"/>
        <w:keepLines w:val="0"/>
        <w:spacing w:before="0" w:after="0" w:line="365" w:lineRule="exact"/>
        <w:ind w:firstLine="1986" w:firstLineChars="827"/>
        <w:rPr>
          <w:rFonts w:ascii="Microsoft YaHei UI" w:hAnsi="Microsoft YaHei UI" w:eastAsia="Microsoft YaHei UI" w:cs="Microsoft YaHei UI"/>
          <w:color w:val="6F9C56"/>
          <w:sz w:val="24"/>
          <w:szCs w:val="24"/>
          <w:lang w:eastAsia="zh-CN"/>
        </w:rPr>
      </w:pPr>
      <w:bookmarkStart w:id="6" w:name="_Toc151982067"/>
      <w:r>
        <w:rPr>
          <w:rFonts w:ascii="Microsoft YaHei UI" w:hAnsi="Microsoft YaHei UI" w:eastAsia="Microsoft YaHei UI" w:cs="Microsoft YaHei UI"/>
          <w:color w:val="6F9C56"/>
          <w:sz w:val="24"/>
          <w:szCs w:val="24"/>
          <w:lang w:eastAsia="zh-CN"/>
        </w:rPr>
        <w:t>数据说明</w:t>
      </w:r>
      <w:bookmarkEnd w:id="6"/>
    </w:p>
    <w:p w14:paraId="0F459709">
      <w:pPr>
        <w:pStyle w:val="5"/>
        <w:spacing w:before="106" w:line="314" w:lineRule="auto"/>
        <w:ind w:left="1417" w:leftChars="644" w:firstLine="566" w:firstLineChars="238"/>
        <w:rPr>
          <w:spacing w:val="-1"/>
          <w:lang w:eastAsia="zh-CN"/>
        </w:rPr>
      </w:pPr>
      <w:r>
        <w:rPr>
          <w:spacing w:val="-1"/>
          <w:lang w:eastAsia="zh-CN"/>
        </w:rPr>
        <w:t>本报告所引用的</w:t>
      </w:r>
      <w:r>
        <w:rPr>
          <w:rFonts w:hint="eastAsia"/>
          <w:spacing w:val="-1"/>
          <w:lang w:eastAsia="zh-CN"/>
        </w:rPr>
        <w:t>2023</w:t>
      </w:r>
      <w:r>
        <w:rPr>
          <w:spacing w:val="-1"/>
          <w:lang w:eastAsia="zh-CN"/>
        </w:rPr>
        <w:t>年数据为最终统计数据，相关数据如与年报有出入，以年报为准。</w:t>
      </w:r>
    </w:p>
    <w:p w14:paraId="7BBFF7AA">
      <w:pPr>
        <w:pStyle w:val="4"/>
        <w:keepNext w:val="0"/>
        <w:keepLines w:val="0"/>
        <w:spacing w:before="0" w:after="0" w:line="365" w:lineRule="exact"/>
        <w:ind w:firstLine="1986" w:firstLineChars="827"/>
        <w:rPr>
          <w:rFonts w:ascii="Microsoft YaHei UI" w:hAnsi="Microsoft YaHei UI" w:eastAsia="Microsoft YaHei UI" w:cs="Microsoft YaHei UI"/>
          <w:color w:val="6F9C56"/>
          <w:sz w:val="24"/>
          <w:szCs w:val="24"/>
          <w:lang w:eastAsia="zh-CN"/>
        </w:rPr>
      </w:pPr>
      <w:bookmarkStart w:id="7" w:name="_Toc151982068"/>
      <w:r>
        <w:rPr>
          <w:rFonts w:hint="eastAsia" w:ascii="Microsoft YaHei UI" w:hAnsi="Microsoft YaHei UI" w:eastAsia="Microsoft YaHei UI" w:cs="Microsoft YaHei UI"/>
          <w:color w:val="6F9C56"/>
          <w:sz w:val="24"/>
          <w:szCs w:val="24"/>
          <w:lang w:eastAsia="zh-CN"/>
        </w:rPr>
        <w:t>获取途径</w:t>
      </w:r>
      <w:bookmarkEnd w:id="7"/>
    </w:p>
    <w:p w14:paraId="0E8D3095">
      <w:pPr>
        <w:pStyle w:val="5"/>
        <w:spacing w:before="106" w:line="314" w:lineRule="auto"/>
        <w:ind w:left="1417" w:leftChars="644" w:firstLine="566" w:firstLineChars="238"/>
        <w:rPr>
          <w:spacing w:val="-1"/>
          <w:lang w:eastAsia="zh-CN"/>
        </w:rPr>
      </w:pPr>
      <w:r>
        <w:rPr>
          <w:spacing w:val="-1"/>
          <w:lang w:eastAsia="zh-CN"/>
        </w:rPr>
        <w:t>本报告以电子版形式发布，如欲获取报告，请登陆</w:t>
      </w:r>
      <w:r>
        <w:rPr>
          <w:rFonts w:hint="eastAsia"/>
          <w:spacing w:val="-1"/>
          <w:lang w:eastAsia="zh-CN"/>
        </w:rPr>
        <w:t>公司官网</w:t>
      </w:r>
      <w:r>
        <w:rPr>
          <w:spacing w:val="-1"/>
          <w:lang w:eastAsia="zh-CN"/>
        </w:rPr>
        <w:t>。</w:t>
      </w:r>
    </w:p>
    <w:p w14:paraId="598D6AB7">
      <w:pPr>
        <w:pStyle w:val="4"/>
        <w:keepNext w:val="0"/>
        <w:keepLines w:val="0"/>
        <w:spacing w:before="0" w:after="0" w:line="365" w:lineRule="exact"/>
        <w:ind w:firstLine="1986" w:firstLineChars="827"/>
        <w:rPr>
          <w:rFonts w:ascii="Microsoft YaHei UI" w:hAnsi="Microsoft YaHei UI" w:eastAsia="Microsoft YaHei UI" w:cs="Microsoft YaHei UI"/>
          <w:color w:val="6F9C56"/>
          <w:sz w:val="24"/>
          <w:szCs w:val="24"/>
          <w:lang w:eastAsia="zh-CN"/>
        </w:rPr>
      </w:pPr>
      <w:bookmarkStart w:id="8" w:name="_Toc151982069"/>
      <w:r>
        <w:rPr>
          <w:rFonts w:ascii="Microsoft YaHei UI" w:hAnsi="Microsoft YaHei UI" w:eastAsia="Microsoft YaHei UI" w:cs="Microsoft YaHei UI"/>
          <w:color w:val="6F9C56"/>
          <w:sz w:val="24"/>
          <w:szCs w:val="24"/>
          <w:lang w:eastAsia="zh-CN"/>
        </w:rPr>
        <w:t>联系方式</w:t>
      </w:r>
      <w:bookmarkEnd w:id="8"/>
    </w:p>
    <w:p w14:paraId="2143DD3A">
      <w:pPr>
        <w:pStyle w:val="5"/>
        <w:spacing w:before="106" w:line="314" w:lineRule="auto"/>
        <w:ind w:left="1417" w:leftChars="644" w:firstLine="566" w:firstLineChars="238"/>
        <w:rPr>
          <w:rFonts w:hint="default"/>
          <w:spacing w:val="-1"/>
          <w:lang w:val="en-US" w:eastAsia="zh-CN"/>
        </w:rPr>
      </w:pPr>
      <w:r>
        <w:rPr>
          <w:spacing w:val="-1"/>
          <w:lang w:eastAsia="zh-CN"/>
        </w:rPr>
        <w:t>地址</w:t>
      </w:r>
      <w:r>
        <w:rPr>
          <w:rFonts w:hint="eastAsia"/>
          <w:spacing w:val="-1"/>
          <w:lang w:eastAsia="zh-CN"/>
        </w:rPr>
        <w:t>：</w:t>
      </w:r>
      <w:r>
        <w:rPr>
          <w:rFonts w:hint="eastAsia"/>
          <w:spacing w:val="-1"/>
          <w:lang w:val="en-US" w:eastAsia="zh-CN"/>
        </w:rPr>
        <w:t>新材料产业园海平路20号</w:t>
      </w:r>
    </w:p>
    <w:p w14:paraId="68581579">
      <w:pPr>
        <w:pStyle w:val="5"/>
        <w:spacing w:before="106" w:line="314" w:lineRule="auto"/>
        <w:ind w:left="1417" w:leftChars="644" w:firstLine="566" w:firstLineChars="238"/>
        <w:rPr>
          <w:rFonts w:hint="eastAsia"/>
          <w:spacing w:val="-1"/>
          <w:lang w:val="en-US" w:eastAsia="zh-CN"/>
        </w:rPr>
      </w:pPr>
      <w:r>
        <w:rPr>
          <w:spacing w:val="-1"/>
          <w:lang w:eastAsia="zh-CN"/>
        </w:rPr>
        <w:t>邮编：2155</w:t>
      </w:r>
      <w:r>
        <w:rPr>
          <w:rFonts w:hint="eastAsia"/>
          <w:spacing w:val="-1"/>
          <w:lang w:val="en-US" w:eastAsia="zh-CN"/>
        </w:rPr>
        <w:t>00</w:t>
      </w:r>
    </w:p>
    <w:p w14:paraId="4BC04CDE">
      <w:pPr>
        <w:pStyle w:val="5"/>
        <w:spacing w:before="106" w:line="314" w:lineRule="auto"/>
        <w:ind w:left="1417" w:leftChars="644" w:firstLine="566" w:firstLineChars="238"/>
        <w:rPr>
          <w:spacing w:val="-1"/>
          <w:lang w:eastAsia="zh-CN"/>
        </w:rPr>
      </w:pPr>
      <w:r>
        <w:rPr>
          <w:spacing w:val="-1"/>
          <w:lang w:eastAsia="zh-CN"/>
        </w:rPr>
        <w:t>联系电话：</w:t>
      </w:r>
      <w:r>
        <w:rPr>
          <w:rFonts w:hint="eastAsia"/>
          <w:spacing w:val="-1"/>
          <w:lang w:val="en-US" w:eastAsia="zh-CN"/>
        </w:rPr>
        <w:t>0512-</w:t>
      </w:r>
      <w:r>
        <w:rPr>
          <w:rFonts w:hint="eastAsia"/>
          <w:spacing w:val="-1"/>
          <w:lang w:eastAsia="zh-CN"/>
        </w:rPr>
        <w:t>52320560</w:t>
      </w:r>
    </w:p>
    <w:p w14:paraId="370D4FDB">
      <w:pPr>
        <w:rPr>
          <w:sz w:val="30"/>
          <w:szCs w:val="30"/>
        </w:rPr>
      </w:pPr>
    </w:p>
    <w:p w14:paraId="0EC55AC7">
      <w:pPr>
        <w:rPr>
          <w:sz w:val="30"/>
          <w:szCs w:val="30"/>
        </w:rPr>
      </w:pPr>
    </w:p>
    <w:p w14:paraId="3E2496B1">
      <w:pPr>
        <w:rPr>
          <w:sz w:val="30"/>
          <w:szCs w:val="30"/>
        </w:rPr>
      </w:pPr>
    </w:p>
    <w:p w14:paraId="0222501C">
      <w:pPr>
        <w:rPr>
          <w:sz w:val="30"/>
          <w:szCs w:val="30"/>
        </w:rPr>
      </w:pPr>
    </w:p>
    <w:p w14:paraId="21A15181">
      <w:pPr>
        <w:rPr>
          <w:sz w:val="30"/>
          <w:szCs w:val="30"/>
        </w:rPr>
      </w:pPr>
    </w:p>
    <w:p w14:paraId="260C2029">
      <w:pPr>
        <w:rPr>
          <w:sz w:val="30"/>
          <w:szCs w:val="30"/>
        </w:rPr>
      </w:pPr>
    </w:p>
    <w:p w14:paraId="715F1837">
      <w:pPr>
        <w:rPr>
          <w:sz w:val="30"/>
          <w:szCs w:val="30"/>
        </w:rPr>
      </w:pPr>
    </w:p>
    <w:p w14:paraId="08B5F5A4">
      <w:pPr>
        <w:rPr>
          <w:sz w:val="30"/>
          <w:szCs w:val="30"/>
        </w:rPr>
      </w:pPr>
    </w:p>
    <w:p w14:paraId="1AD7C924">
      <w:pPr>
        <w:pStyle w:val="2"/>
        <w:keepNext w:val="0"/>
        <w:keepLines w:val="0"/>
        <w:numPr>
          <w:ilvl w:val="0"/>
          <w:numId w:val="1"/>
        </w:numPr>
        <w:tabs>
          <w:tab w:val="left" w:pos="2410"/>
        </w:tabs>
        <w:spacing w:before="47" w:after="0" w:line="240" w:lineRule="auto"/>
        <w:ind w:left="0" w:firstLine="1561" w:firstLineChars="520"/>
        <w:rPr>
          <w:rFonts w:ascii="Microsoft YaHei UI" w:hAnsi="Microsoft YaHei UI" w:eastAsia="Microsoft YaHei UI" w:cs="Microsoft YaHei UI"/>
          <w:kern w:val="0"/>
          <w:sz w:val="30"/>
          <w:szCs w:val="30"/>
          <w:lang w:eastAsia="zh-CN"/>
        </w:rPr>
      </w:pPr>
      <w:bookmarkStart w:id="9" w:name="_Toc152057897"/>
      <w:bookmarkStart w:id="10" w:name="_Toc151985179"/>
      <w:r>
        <w:rPr>
          <w:rFonts w:ascii="Microsoft YaHei UI" w:hAnsi="Microsoft YaHei UI" w:eastAsia="Microsoft YaHei UI" w:cs="Microsoft YaHei UI"/>
          <w:kern w:val="0"/>
          <w:sz w:val="30"/>
          <w:szCs w:val="30"/>
          <w:lang w:eastAsia="zh-CN"/>
        </w:rPr>
        <w:t>关于</w:t>
      </w:r>
      <w:bookmarkStart w:id="11" w:name="_Hlk150760846"/>
      <w:r>
        <w:rPr>
          <w:rFonts w:hint="eastAsia" w:ascii="Microsoft YaHei UI" w:hAnsi="Microsoft YaHei UI" w:eastAsia="Microsoft YaHei UI" w:cs="Microsoft YaHei UI"/>
          <w:kern w:val="0"/>
          <w:sz w:val="30"/>
          <w:szCs w:val="30"/>
          <w:lang w:eastAsia="zh-CN"/>
        </w:rPr>
        <w:t>江苏泰际材料科技有限公司</w:t>
      </w:r>
      <w:bookmarkEnd w:id="9"/>
      <w:bookmarkEnd w:id="10"/>
    </w:p>
    <w:bookmarkEnd w:id="11"/>
    <w:p w14:paraId="634C38C0">
      <w:pPr>
        <w:pStyle w:val="3"/>
        <w:numPr>
          <w:ilvl w:val="1"/>
          <w:numId w:val="2"/>
        </w:numPr>
        <w:tabs>
          <w:tab w:val="left" w:pos="2069"/>
        </w:tabs>
        <w:spacing w:before="425"/>
        <w:ind w:left="2709" w:hanging="1149"/>
        <w:rPr>
          <w:rFonts w:ascii="Microsoft YaHei UI" w:hAnsi="Microsoft YaHei UI" w:eastAsia="Microsoft YaHei UI"/>
          <w:color w:val="0000CC"/>
        </w:rPr>
      </w:pPr>
      <w:bookmarkStart w:id="12" w:name="1.1公司简介"/>
      <w:bookmarkEnd w:id="12"/>
      <w:bookmarkStart w:id="13" w:name="_bookmark2"/>
      <w:bookmarkEnd w:id="13"/>
      <w:bookmarkStart w:id="14" w:name="_Toc151985180"/>
      <w:bookmarkStart w:id="15" w:name="_Toc152057898"/>
      <w:r>
        <w:rPr>
          <w:rFonts w:ascii="Microsoft YaHei UI" w:hAnsi="Microsoft YaHei UI" w:eastAsia="Microsoft YaHei UI"/>
          <w:color w:val="0000CC"/>
        </w:rPr>
        <w:t>公司简介</w:t>
      </w:r>
      <w:bookmarkEnd w:id="14"/>
      <w:bookmarkEnd w:id="15"/>
    </w:p>
    <w:p w14:paraId="7E2A134F">
      <w:pPr>
        <w:pStyle w:val="5"/>
        <w:spacing w:line="364" w:lineRule="auto"/>
        <w:ind w:left="2068"/>
        <w:rPr>
          <w:lang w:eastAsia="zh-CN"/>
        </w:rPr>
      </w:pPr>
      <w:r>
        <w:rPr>
          <w:rFonts w:hint="eastAsia"/>
          <w:lang w:eastAsia="zh-CN"/>
        </w:rPr>
        <w:t>江苏泰际材料科技有限公司</w:t>
      </w:r>
    </w:p>
    <w:p w14:paraId="2F33BDAE">
      <w:pPr>
        <w:pStyle w:val="5"/>
        <w:spacing w:line="364" w:lineRule="auto"/>
        <w:ind w:left="2068"/>
        <w:rPr>
          <w:lang w:eastAsia="zh-CN"/>
        </w:rPr>
      </w:pPr>
      <w:r>
        <w:rPr>
          <w:rFonts w:hint="eastAsia"/>
          <w:lang w:eastAsia="zh-CN"/>
        </w:rPr>
        <w:t>主要业务</w:t>
      </w:r>
    </w:p>
    <w:p w14:paraId="6F0078FA">
      <w:pPr>
        <w:pStyle w:val="5"/>
        <w:spacing w:before="106" w:line="314" w:lineRule="auto"/>
        <w:ind w:left="1417" w:leftChars="644" w:firstLine="566" w:firstLineChars="238"/>
        <w:rPr>
          <w:spacing w:val="-1"/>
          <w:lang w:eastAsia="zh-CN"/>
        </w:rPr>
      </w:pPr>
      <w:r>
        <w:rPr>
          <w:rFonts w:hint="eastAsia"/>
          <w:spacing w:val="-1"/>
          <w:lang w:eastAsia="zh-CN"/>
        </w:rPr>
        <w:t>公司产品六氟磷酸锂是锂离子电池电解液中最重要的溶质，处于新能源汽车产业链上游环节、锂离子电池中游环节，主要用于新能源汽车锂离子电池电解液制备，是新能源汽车产业发展的重要基础。公司已与比亚迪、张家港市国泰华荣化工新材料有限公司、宁德国泰华荣新材料有限公司等下游龙头企业建立了长期稳定的合作关系，为新能源汽车产业高质量发展提供了重要的保障。</w:t>
      </w:r>
    </w:p>
    <w:p w14:paraId="7E5745A8">
      <w:pPr>
        <w:tabs>
          <w:tab w:val="left" w:pos="1576"/>
        </w:tabs>
        <w:spacing w:line="360" w:lineRule="auto"/>
        <w:ind w:left="1576"/>
        <w:rPr>
          <w:spacing w:val="-1"/>
          <w:sz w:val="24"/>
          <w:szCs w:val="24"/>
          <w:lang w:eastAsia="zh-CN"/>
        </w:rPr>
      </w:pPr>
      <w:r>
        <w:rPr>
          <w:rFonts w:hint="eastAsia" w:ascii="Microsoft YaHei UI" w:eastAsia="Microsoft YaHei UI"/>
          <w:b/>
          <w:color w:val="0000CC"/>
          <w:spacing w:val="-2"/>
          <w:sz w:val="24"/>
          <w:lang w:eastAsia="zh-CN"/>
        </w:rPr>
        <w:t>公司名称：</w:t>
      </w:r>
      <w:r>
        <w:rPr>
          <w:rFonts w:hint="eastAsia"/>
          <w:spacing w:val="-1"/>
          <w:sz w:val="24"/>
          <w:szCs w:val="24"/>
          <w:lang w:eastAsia="zh-CN"/>
        </w:rPr>
        <w:t>江苏泰际材料科技有限公司</w:t>
      </w:r>
    </w:p>
    <w:p w14:paraId="75182C66">
      <w:pPr>
        <w:tabs>
          <w:tab w:val="left" w:pos="1576"/>
        </w:tabs>
        <w:spacing w:line="360" w:lineRule="auto"/>
        <w:ind w:left="1576"/>
        <w:rPr>
          <w:rFonts w:ascii="Times New Roman" w:hAnsi="Times New Roman" w:cs="Times New Roman"/>
          <w:sz w:val="3"/>
          <w:lang w:eastAsia="zh-CN"/>
        </w:rPr>
      </w:pPr>
      <w:r>
        <w:rPr>
          <w:rFonts w:hint="eastAsia" w:ascii="Microsoft YaHei UI" w:eastAsia="Microsoft YaHei UI"/>
          <w:b/>
          <w:color w:val="0000CC"/>
          <w:spacing w:val="-2"/>
          <w:sz w:val="24"/>
          <w:lang w:eastAsia="zh-CN"/>
        </w:rPr>
        <w:t>英文名称：</w:t>
      </w:r>
      <w:r>
        <w:rPr>
          <w:rFonts w:hint="eastAsia"/>
          <w:spacing w:val="-1"/>
          <w:sz w:val="24"/>
          <w:szCs w:val="24"/>
          <w:lang w:eastAsia="zh-CN"/>
        </w:rPr>
        <w:t xml:space="preserve">Jiangsu Taiji Material Technology Co.,Ltd.  </w:t>
      </w:r>
    </w:p>
    <w:p w14:paraId="3B6C3453">
      <w:pPr>
        <w:tabs>
          <w:tab w:val="left" w:pos="1576"/>
        </w:tabs>
        <w:spacing w:line="360" w:lineRule="auto"/>
        <w:ind w:left="1576"/>
        <w:rPr>
          <w:rFonts w:hint="default"/>
          <w:spacing w:val="-1"/>
          <w:sz w:val="24"/>
          <w:szCs w:val="24"/>
          <w:lang w:val="en-US" w:eastAsia="zh-CN"/>
        </w:rPr>
      </w:pPr>
      <w:r>
        <w:rPr>
          <w:rFonts w:hint="eastAsia" w:ascii="Microsoft YaHei UI" w:eastAsia="Microsoft YaHei UI"/>
          <w:b/>
          <w:color w:val="0000CC"/>
          <w:spacing w:val="-2"/>
          <w:sz w:val="24"/>
          <w:lang w:eastAsia="zh-CN"/>
        </w:rPr>
        <w:t>公司地址：</w:t>
      </w:r>
      <w:r>
        <w:rPr>
          <w:rFonts w:hint="eastAsia"/>
          <w:spacing w:val="-1"/>
          <w:sz w:val="24"/>
          <w:szCs w:val="24"/>
          <w:lang w:val="en-US" w:eastAsia="zh-CN"/>
        </w:rPr>
        <w:t>新材料产业园海平路21号</w:t>
      </w:r>
    </w:p>
    <w:p w14:paraId="412023F4">
      <w:pPr>
        <w:spacing w:before="17" w:line="360" w:lineRule="auto"/>
        <w:ind w:left="1576"/>
        <w:rPr>
          <w:spacing w:val="-1"/>
          <w:sz w:val="24"/>
          <w:szCs w:val="24"/>
          <w:lang w:eastAsia="zh-CN"/>
        </w:rPr>
      </w:pPr>
      <w:r>
        <w:rPr>
          <w:rFonts w:hint="eastAsia" w:ascii="Microsoft YaHei UI" w:eastAsia="Microsoft YaHei UI"/>
          <w:b/>
          <w:color w:val="0000CC"/>
          <w:spacing w:val="-2"/>
          <w:sz w:val="24"/>
          <w:lang w:eastAsia="zh-CN"/>
        </w:rPr>
        <w:t>公司网址：</w:t>
      </w:r>
      <w:r>
        <w:rPr>
          <w:spacing w:val="-1"/>
          <w:sz w:val="24"/>
          <w:szCs w:val="24"/>
          <w:lang w:eastAsia="zh-CN"/>
        </w:rPr>
        <w:t>http://www.tonzene.com.cn/</w:t>
      </w:r>
    </w:p>
    <w:p w14:paraId="64297072">
      <w:pPr>
        <w:pStyle w:val="3"/>
        <w:numPr>
          <w:ilvl w:val="1"/>
          <w:numId w:val="2"/>
        </w:numPr>
        <w:tabs>
          <w:tab w:val="left" w:pos="360"/>
          <w:tab w:val="left" w:pos="2069"/>
        </w:tabs>
        <w:spacing w:before="425"/>
        <w:ind w:left="2709" w:hanging="1149"/>
        <w:rPr>
          <w:rFonts w:ascii="Microsoft YaHei UI" w:hAnsi="Microsoft YaHei UI" w:eastAsia="Microsoft YaHei UI"/>
          <w:color w:val="0000CC"/>
        </w:rPr>
        <w:sectPr>
          <w:pgSz w:w="11910" w:h="16840"/>
          <w:pgMar w:top="1191" w:right="1077" w:bottom="278" w:left="397" w:header="340" w:footer="737" w:gutter="0"/>
          <w:pgNumType w:start="1"/>
          <w:cols w:space="720" w:num="1"/>
          <w:docGrid w:linePitch="299" w:charSpace="0"/>
        </w:sectPr>
      </w:pPr>
      <w:bookmarkStart w:id="16" w:name="_bookmark3"/>
      <w:bookmarkEnd w:id="16"/>
      <w:bookmarkStart w:id="17" w:name="_Toc152057899"/>
      <w:bookmarkStart w:id="18" w:name="_Toc151985181"/>
      <w:r>
        <w:rPr>
          <w:rFonts w:ascii="Microsoft YaHei UI" w:hAnsi="Microsoft YaHei UI" w:eastAsia="Microsoft YaHei UI"/>
          <w:color w:val="0000CC"/>
          <w:lang w:eastAsia="zh-CN"/>
        </w:rPr>
        <w:drawing>
          <wp:anchor distT="0" distB="0" distL="114300" distR="114300" simplePos="0" relativeHeight="251667456" behindDoc="0" locked="0" layoutInCell="1" allowOverlap="1">
            <wp:simplePos x="0" y="0"/>
            <wp:positionH relativeFrom="column">
              <wp:posOffset>561975</wp:posOffset>
            </wp:positionH>
            <wp:positionV relativeFrom="paragraph">
              <wp:posOffset>753745</wp:posOffset>
            </wp:positionV>
            <wp:extent cx="6040120" cy="3386455"/>
            <wp:effectExtent l="0" t="0" r="5080" b="4445"/>
            <wp:wrapNone/>
            <wp:docPr id="2035041209" name="图片 1" descr="C:/Users/admin/Desktop/组织架构图.png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41209" name="图片 1" descr="C:/Users/admin/Desktop/组织架构图.png组织架构图"/>
                    <pic:cNvPicPr>
                      <a:picLocks noChangeAspect="1" noChangeArrowheads="1"/>
                    </pic:cNvPicPr>
                  </pic:nvPicPr>
                  <pic:blipFill>
                    <a:blip r:embed="rId15"/>
                    <a:srcRect l="8794" r="8794"/>
                    <a:stretch>
                      <a:fillRect/>
                    </a:stretch>
                  </pic:blipFill>
                  <pic:spPr>
                    <a:xfrm>
                      <a:off x="0" y="0"/>
                      <a:ext cx="6062235" cy="3386455"/>
                    </a:xfrm>
                    <a:prstGeom prst="rect">
                      <a:avLst/>
                    </a:prstGeom>
                    <a:noFill/>
                    <a:ln>
                      <a:noFill/>
                    </a:ln>
                  </pic:spPr>
                </pic:pic>
              </a:graphicData>
            </a:graphic>
          </wp:anchor>
        </w:drawing>
      </w:r>
      <w:r>
        <w:rPr>
          <w:rFonts w:ascii="Microsoft YaHei UI" w:hAnsi="Microsoft YaHei UI" w:eastAsia="Microsoft YaHei UI"/>
          <w:color w:val="0000CC"/>
        </w:rPr>
        <w:t>组织</w:t>
      </w:r>
      <w:bookmarkEnd w:id="17"/>
      <w:bookmarkEnd w:id="18"/>
      <w:r>
        <w:rPr>
          <w:rFonts w:hint="eastAsia" w:ascii="Microsoft YaHei UI" w:hAnsi="Microsoft YaHei UI" w:eastAsia="Microsoft YaHei UI"/>
          <w:color w:val="0000CC"/>
          <w:lang w:eastAsia="zh-CN"/>
        </w:rPr>
        <w:t>架构</w:t>
      </w:r>
    </w:p>
    <w:p w14:paraId="46DFC475">
      <w:pPr>
        <w:pStyle w:val="3"/>
        <w:numPr>
          <w:ilvl w:val="1"/>
          <w:numId w:val="2"/>
        </w:numPr>
        <w:tabs>
          <w:tab w:val="left" w:pos="2069"/>
        </w:tabs>
        <w:spacing w:before="425"/>
        <w:ind w:left="2709" w:hanging="1149"/>
        <w:rPr>
          <w:rFonts w:ascii="Microsoft YaHei UI" w:hAnsi="Microsoft YaHei UI" w:eastAsia="Microsoft YaHei UI"/>
          <w:color w:val="0000CC"/>
        </w:rPr>
      </w:pPr>
      <w:bookmarkStart w:id="19" w:name="_Toc151985182"/>
      <w:bookmarkStart w:id="20" w:name="_Toc152057900"/>
      <w:r>
        <w:rPr>
          <w:rFonts w:ascii="Microsoft YaHei UI" w:hAnsi="Microsoft YaHei UI" w:eastAsia="Microsoft YaHei UI"/>
          <w:color w:val="0000CC"/>
        </w:rPr>
        <w:t>企业文化</w:t>
      </w:r>
      <w:bookmarkEnd w:id="19"/>
      <w:bookmarkEnd w:id="20"/>
    </w:p>
    <w:p w14:paraId="11809A18">
      <w:pPr>
        <w:pStyle w:val="5"/>
        <w:spacing w:before="106" w:line="314" w:lineRule="auto"/>
        <w:ind w:left="1417" w:leftChars="644" w:firstLine="566" w:firstLineChars="238"/>
        <w:rPr>
          <w:spacing w:val="-1"/>
          <w:lang w:eastAsia="zh-CN"/>
        </w:rPr>
      </w:pPr>
      <w:r>
        <w:rPr>
          <w:rFonts w:hint="eastAsia"/>
          <w:spacing w:val="-1"/>
          <w:lang w:eastAsia="zh-CN"/>
        </w:rPr>
        <w:t>自成立以来，面对激烈的市场竞争带来的挑战和机遇，始终着眼于提高公司核心竞争力、提高员工素质、提高公司的凝聚力和向心力，积极推进符合公司自身特色的企业文化建设。积极加强公司诚信文化建设，诚信经营是企业伦理最重要的内容之一，也是企业的生存之本，只有取信于员工、取信于客户、取信于外部利益相关群体，才能形成良好的内外部发展环境。</w:t>
      </w:r>
    </w:p>
    <w:p w14:paraId="788AD49F">
      <w:pPr>
        <w:pStyle w:val="3"/>
        <w:numPr>
          <w:ilvl w:val="1"/>
          <w:numId w:val="2"/>
        </w:numPr>
        <w:tabs>
          <w:tab w:val="left" w:pos="2069"/>
        </w:tabs>
        <w:spacing w:before="425"/>
        <w:ind w:left="2709" w:hanging="1149"/>
        <w:rPr>
          <w:rFonts w:ascii="宋体" w:hAnsi="宋体" w:eastAsia="宋体" w:cs="宋体"/>
          <w:sz w:val="24"/>
          <w:szCs w:val="24"/>
          <w:lang w:eastAsia="zh-CN"/>
        </w:rPr>
      </w:pPr>
      <w:bookmarkStart w:id="21" w:name="_Toc151985183"/>
      <w:bookmarkStart w:id="22" w:name="_Toc152057901"/>
      <w:r>
        <w:rPr>
          <w:rFonts w:ascii="Microsoft YaHei UI" w:hAnsi="Microsoft YaHei UI" w:eastAsia="Microsoft YaHei UI"/>
          <w:color w:val="0000CC"/>
        </w:rPr>
        <w:t>主要荣誉</w:t>
      </w:r>
      <w:bookmarkEnd w:id="21"/>
      <w:bookmarkEnd w:id="22"/>
    </w:p>
    <w:p w14:paraId="5779A78F">
      <w:pPr>
        <w:pStyle w:val="3"/>
        <w:numPr>
          <w:ilvl w:val="0"/>
          <w:numId w:val="0"/>
        </w:numPr>
        <w:tabs>
          <w:tab w:val="left" w:pos="2069"/>
        </w:tabs>
        <w:spacing w:before="425"/>
        <w:ind w:left="1560" w:leftChars="0"/>
        <w:rPr>
          <w:rFonts w:hint="eastAsia" w:ascii="宋体" w:hAnsi="宋体" w:eastAsia="宋体" w:cs="宋体"/>
          <w:b w:val="0"/>
          <w:bCs w:val="0"/>
          <w:spacing w:val="-1"/>
          <w:kern w:val="0"/>
          <w:sz w:val="24"/>
          <w:szCs w:val="24"/>
          <w:lang w:val="en-US" w:eastAsia="zh-CN" w:bidi="ar-SA"/>
        </w:rPr>
      </w:pPr>
      <w:r>
        <w:rPr>
          <w:rFonts w:hint="eastAsia" w:ascii="宋体" w:hAnsi="宋体" w:eastAsia="宋体" w:cs="宋体"/>
          <w:b w:val="0"/>
          <w:bCs w:val="0"/>
          <w:spacing w:val="-1"/>
          <w:kern w:val="0"/>
          <w:sz w:val="24"/>
          <w:szCs w:val="24"/>
          <w:lang w:val="en-US" w:eastAsia="zh-CN" w:bidi="ar-SA"/>
        </w:rPr>
        <w:t>江苏省高新技术企业</w:t>
      </w:r>
    </w:p>
    <w:p w14:paraId="2D884BB9">
      <w:pPr>
        <w:autoSpaceDE/>
        <w:autoSpaceDN/>
        <w:spacing w:line="460" w:lineRule="exact"/>
        <w:jc w:val="both"/>
        <w:rPr>
          <w:sz w:val="24"/>
          <w:szCs w:val="24"/>
          <w:lang w:eastAsia="zh-CN"/>
        </w:rPr>
      </w:pPr>
    </w:p>
    <w:p w14:paraId="30FAFCEE">
      <w:pPr>
        <w:pStyle w:val="2"/>
        <w:keepNext w:val="0"/>
        <w:keepLines w:val="0"/>
        <w:numPr>
          <w:ilvl w:val="0"/>
          <w:numId w:val="1"/>
        </w:numPr>
        <w:tabs>
          <w:tab w:val="left" w:pos="2410"/>
        </w:tabs>
        <w:spacing w:before="47" w:after="0" w:line="240" w:lineRule="auto"/>
        <w:ind w:left="0" w:firstLine="1561" w:firstLineChars="520"/>
        <w:rPr>
          <w:rFonts w:ascii="Microsoft YaHei UI" w:hAnsi="Microsoft YaHei UI" w:eastAsia="Microsoft YaHei UI" w:cs="Microsoft YaHei UI"/>
          <w:kern w:val="0"/>
          <w:sz w:val="30"/>
          <w:szCs w:val="30"/>
          <w:lang w:eastAsia="zh-CN"/>
        </w:rPr>
      </w:pPr>
      <w:bookmarkStart w:id="23" w:name="_Toc151985184"/>
      <w:bookmarkStart w:id="24" w:name="_Toc152057902"/>
      <w:r>
        <w:rPr>
          <w:rFonts w:ascii="Microsoft YaHei UI" w:hAnsi="Microsoft YaHei UI" w:eastAsia="Microsoft YaHei UI" w:cs="Microsoft YaHei UI"/>
          <w:kern w:val="0"/>
          <w:sz w:val="30"/>
          <w:szCs w:val="30"/>
          <w:lang w:eastAsia="zh-CN"/>
        </w:rPr>
        <w:t>公司治理及商业道德</w:t>
      </w:r>
      <w:bookmarkEnd w:id="23"/>
      <w:bookmarkEnd w:id="24"/>
    </w:p>
    <w:p w14:paraId="5BA8C799">
      <w:pPr>
        <w:pStyle w:val="3"/>
        <w:tabs>
          <w:tab w:val="left" w:pos="2069"/>
        </w:tabs>
        <w:spacing w:before="425"/>
        <w:ind w:firstLine="1601" w:firstLineChars="500"/>
        <w:rPr>
          <w:rFonts w:ascii="Microsoft YaHei UI" w:hAnsi="Microsoft YaHei UI" w:eastAsia="Microsoft YaHei UI"/>
          <w:color w:val="0000CC"/>
        </w:rPr>
      </w:pPr>
      <w:bookmarkStart w:id="25" w:name="_Toc152057903"/>
      <w:bookmarkStart w:id="26" w:name="_Toc151985185"/>
      <w:r>
        <w:rPr>
          <w:rFonts w:hint="eastAsia" w:ascii="Microsoft YaHei UI" w:hAnsi="Microsoft YaHei UI" w:eastAsia="Microsoft YaHei UI"/>
          <w:color w:val="0000CC"/>
        </w:rPr>
        <w:t>2</w:t>
      </w:r>
      <w:r>
        <w:rPr>
          <w:rFonts w:ascii="Microsoft YaHei UI" w:hAnsi="Microsoft YaHei UI" w:eastAsia="Microsoft YaHei UI"/>
          <w:color w:val="0000CC"/>
        </w:rPr>
        <w:t>.1公司治理</w:t>
      </w:r>
      <w:bookmarkEnd w:id="25"/>
      <w:bookmarkEnd w:id="26"/>
    </w:p>
    <w:p w14:paraId="21906DAF">
      <w:pPr>
        <w:pStyle w:val="5"/>
        <w:spacing w:before="130" w:line="364" w:lineRule="auto"/>
        <w:ind w:left="1560" w:leftChars="709" w:right="995" w:firstLine="476" w:firstLineChars="200"/>
        <w:jc w:val="both"/>
        <w:rPr>
          <w:spacing w:val="-1"/>
          <w:lang w:eastAsia="zh-CN"/>
        </w:rPr>
      </w:pPr>
      <w:r>
        <w:rPr>
          <w:spacing w:val="-1"/>
          <w:lang w:eastAsia="zh-CN"/>
        </w:rPr>
        <w:t>公司严格按照《中华人民共和国公司法》等法律、行政法规、部门规章、规范性文件的要求，不断完善公司治理架构，健全内部风险管控制度，加强</w:t>
      </w:r>
      <w:r>
        <w:rPr>
          <w:rFonts w:hint="eastAsia"/>
          <w:spacing w:val="-1"/>
          <w:lang w:eastAsia="zh-CN"/>
        </w:rPr>
        <w:t>相关方</w:t>
      </w:r>
      <w:r>
        <w:rPr>
          <w:spacing w:val="-1"/>
          <w:lang w:eastAsia="zh-CN"/>
        </w:rPr>
        <w:t>关系管理，提升信息披露水平，持续推进公司治理整改活动，提高公司规范运作水平。报告期内，公司治理的实际情况符合监管部门发布的各项法律法规和业务规则的要求</w:t>
      </w:r>
      <w:bookmarkStart w:id="27" w:name="治理架构"/>
      <w:bookmarkEnd w:id="27"/>
      <w:r>
        <w:rPr>
          <w:spacing w:val="-1"/>
          <w:lang w:eastAsia="zh-CN"/>
        </w:rPr>
        <w:t>。</w:t>
      </w:r>
    </w:p>
    <w:p w14:paraId="3CCC9CE7">
      <w:pPr>
        <w:pStyle w:val="3"/>
        <w:tabs>
          <w:tab w:val="left" w:pos="2069"/>
        </w:tabs>
        <w:spacing w:before="425"/>
        <w:ind w:firstLine="1601" w:firstLineChars="500"/>
        <w:rPr>
          <w:rFonts w:ascii="Microsoft YaHei UI" w:hAnsi="Microsoft YaHei UI" w:eastAsia="Microsoft YaHei UI"/>
          <w:color w:val="0000CC"/>
          <w:lang w:eastAsia="zh-CN"/>
        </w:rPr>
      </w:pPr>
      <w:bookmarkStart w:id="28" w:name="_Toc152057904"/>
      <w:bookmarkStart w:id="29" w:name="_Toc151985186"/>
      <w:r>
        <w:rPr>
          <w:rFonts w:hint="eastAsia" w:ascii="Microsoft YaHei UI" w:hAnsi="Microsoft YaHei UI" w:eastAsia="Microsoft YaHei UI"/>
          <w:color w:val="0000CC"/>
          <w:lang w:eastAsia="zh-CN"/>
        </w:rPr>
        <w:t>2</w:t>
      </w:r>
      <w:r>
        <w:rPr>
          <w:rFonts w:ascii="Microsoft YaHei UI" w:hAnsi="Microsoft YaHei UI" w:eastAsia="Microsoft YaHei UI"/>
          <w:color w:val="0000CC"/>
          <w:lang w:eastAsia="zh-CN"/>
        </w:rPr>
        <w:t>.2商业道德与反腐败</w:t>
      </w:r>
      <w:bookmarkEnd w:id="28"/>
      <w:bookmarkEnd w:id="29"/>
    </w:p>
    <w:p w14:paraId="10AC2AF4">
      <w:pPr>
        <w:pStyle w:val="5"/>
        <w:spacing w:before="130" w:line="364" w:lineRule="auto"/>
        <w:ind w:left="1560" w:leftChars="709" w:right="995" w:firstLine="480" w:firstLineChars="200"/>
        <w:jc w:val="both"/>
        <w:rPr>
          <w:lang w:eastAsia="zh-CN"/>
        </w:rPr>
      </w:pPr>
      <w:r>
        <w:rPr>
          <w:lang w:eastAsia="zh-CN"/>
        </w:rPr>
        <w:t>公司严格遵守法律法规和行业自律规则，遵守社会公德、商业道德、职业道德和行为规定，阳光经营，积极构建高标准的商业道德准则，营造诚实、负责任的企业文化。</w:t>
      </w:r>
    </w:p>
    <w:p w14:paraId="37F88EBC">
      <w:pPr>
        <w:pStyle w:val="5"/>
        <w:spacing w:before="130" w:line="364" w:lineRule="auto"/>
        <w:ind w:left="1560" w:leftChars="709" w:right="995" w:firstLine="480" w:firstLineChars="200"/>
        <w:jc w:val="both"/>
        <w:rPr>
          <w:lang w:eastAsia="zh-CN"/>
        </w:rPr>
      </w:pPr>
      <w:r>
        <w:rPr>
          <w:lang w:eastAsia="zh-CN"/>
        </w:rPr>
        <w:t>公司禁止直接或间接向政府、商业伙伴等进行回扣、行贿和任何其他形式的不当支付，以获取商业利益；禁止全体员工接受任何贿赂、回扣或不正当报酬；董事、高级职员和员工及其直系亲属不得接受任何超过业务正常或惯常数额的礼物。</w:t>
      </w:r>
    </w:p>
    <w:p w14:paraId="55888FB2">
      <w:pPr>
        <w:pStyle w:val="5"/>
        <w:spacing w:before="130" w:line="364" w:lineRule="auto"/>
        <w:ind w:left="1560" w:leftChars="709" w:right="995" w:firstLine="480" w:firstLineChars="200"/>
        <w:jc w:val="both"/>
        <w:rPr>
          <w:lang w:eastAsia="zh-CN"/>
        </w:rPr>
      </w:pPr>
      <w:r>
        <w:rPr>
          <w:lang w:eastAsia="zh-CN"/>
        </w:rPr>
        <w:t>公司重视资产、知识产权和信息安全方面的保护；公司员工应采取合理措施保护公司的资产，确保其仅用于公司的合法业务目的，不应与任何未经授权的人（包括家庭成员和朋友）讨论机密信息，保密信息仅可用于合法商业目的而非个人利益。</w:t>
      </w:r>
    </w:p>
    <w:p w14:paraId="72FD91DA">
      <w:pPr>
        <w:pStyle w:val="5"/>
        <w:spacing w:before="130" w:line="364" w:lineRule="auto"/>
        <w:ind w:left="1560" w:leftChars="709" w:right="995" w:firstLine="480" w:firstLineChars="200"/>
        <w:jc w:val="both"/>
        <w:rPr>
          <w:lang w:eastAsia="zh-CN"/>
        </w:rPr>
      </w:pPr>
      <w:r>
        <w:rPr>
          <w:lang w:eastAsia="zh-CN"/>
        </w:rPr>
        <w:t>公司以内控审计为抓手，深入推进反腐败工作，重点围绕采购管理、合同履约管理、财务收支管理开展审计评价工作，充分发挥审计在预警防范、规范纠偏、监督保障上的作用，提升公司风险防范能力，确保各项工作沿着正确方向加快推进，为公司高质量可持续发展提供保障</w:t>
      </w:r>
      <w:r>
        <w:rPr>
          <w:rFonts w:hint="eastAsia"/>
          <w:lang w:eastAsia="zh-CN"/>
        </w:rPr>
        <w:t>。</w:t>
      </w:r>
    </w:p>
    <w:p w14:paraId="60C31772">
      <w:pPr>
        <w:pStyle w:val="21"/>
        <w:autoSpaceDE/>
        <w:autoSpaceDN/>
        <w:spacing w:line="460" w:lineRule="exact"/>
        <w:ind w:left="1597" w:firstLine="0"/>
        <w:jc w:val="both"/>
        <w:rPr>
          <w:rFonts w:ascii="宋体" w:hAnsi="宋体" w:eastAsia="宋体" w:cs="宋体"/>
          <w:sz w:val="24"/>
          <w:szCs w:val="24"/>
          <w:lang w:eastAsia="zh-CN"/>
        </w:rPr>
      </w:pPr>
    </w:p>
    <w:p w14:paraId="2302165A">
      <w:pPr>
        <w:pStyle w:val="2"/>
        <w:keepNext w:val="0"/>
        <w:keepLines w:val="0"/>
        <w:numPr>
          <w:ilvl w:val="0"/>
          <w:numId w:val="1"/>
        </w:numPr>
        <w:tabs>
          <w:tab w:val="left" w:pos="2410"/>
        </w:tabs>
        <w:spacing w:before="47" w:after="0" w:line="240" w:lineRule="auto"/>
        <w:ind w:left="0" w:firstLine="1561" w:firstLineChars="520"/>
        <w:rPr>
          <w:rFonts w:ascii="Microsoft YaHei UI" w:hAnsi="Microsoft YaHei UI" w:eastAsia="Microsoft YaHei UI" w:cs="Microsoft YaHei UI"/>
          <w:kern w:val="0"/>
          <w:sz w:val="30"/>
          <w:szCs w:val="30"/>
          <w:lang w:eastAsia="zh-CN"/>
        </w:rPr>
      </w:pPr>
      <w:bookmarkStart w:id="30" w:name="_Toc151985187"/>
      <w:bookmarkStart w:id="31" w:name="_Toc152057905"/>
      <w:r>
        <w:rPr>
          <w:rFonts w:ascii="Microsoft YaHei UI" w:hAnsi="Microsoft YaHei UI" w:eastAsia="Microsoft YaHei UI" w:cs="Microsoft YaHei UI"/>
          <w:kern w:val="0"/>
          <w:sz w:val="30"/>
          <w:szCs w:val="30"/>
          <w:lang w:eastAsia="zh-CN"/>
        </w:rPr>
        <w:t>环境保护与可持续发展</w:t>
      </w:r>
      <w:bookmarkEnd w:id="30"/>
      <w:bookmarkEnd w:id="31"/>
    </w:p>
    <w:p w14:paraId="2CC87DFA">
      <w:pPr>
        <w:pStyle w:val="5"/>
        <w:spacing w:before="130" w:line="364" w:lineRule="auto"/>
        <w:ind w:left="1560" w:leftChars="709" w:right="995" w:firstLine="480" w:firstLineChars="200"/>
        <w:jc w:val="both"/>
        <w:rPr>
          <w:lang w:eastAsia="zh-CN"/>
        </w:rPr>
      </w:pPr>
      <w:r>
        <w:rPr>
          <w:lang w:eastAsia="zh-CN"/>
        </w:rPr>
        <w:t>公司高度重视环境保护与可持续发展，牢固树立“绿水青山就是金山银山”的绿色发展理念，将生态环保要求融入公司发展战略和治理过程，并根据自身生产经营特点、对环境的影响程度等实际情况，履行应尽的环境保护责任，为促进经济社会全面绿色转型与可持续发展做出应有的贡献。</w:t>
      </w:r>
      <w:bookmarkStart w:id="32" w:name="_Toc151985188"/>
    </w:p>
    <w:p w14:paraId="09B9EF67">
      <w:pPr>
        <w:pStyle w:val="3"/>
        <w:tabs>
          <w:tab w:val="left" w:pos="2069"/>
        </w:tabs>
        <w:spacing w:before="425"/>
        <w:ind w:firstLine="1601" w:firstLineChars="500"/>
        <w:rPr>
          <w:rFonts w:ascii="Microsoft YaHei UI" w:hAnsi="Microsoft YaHei UI" w:eastAsia="Microsoft YaHei UI"/>
          <w:color w:val="0000CC"/>
          <w:lang w:eastAsia="zh-CN"/>
        </w:rPr>
      </w:pPr>
      <w:bookmarkStart w:id="33" w:name="_Toc152057906"/>
      <w:r>
        <w:rPr>
          <w:rFonts w:hint="eastAsia" w:ascii="Microsoft YaHei UI" w:hAnsi="Microsoft YaHei UI" w:eastAsia="Microsoft YaHei UI"/>
          <w:color w:val="0000CC"/>
          <w:lang w:eastAsia="zh-CN"/>
        </w:rPr>
        <w:t>3</w:t>
      </w:r>
      <w:r>
        <w:rPr>
          <w:rFonts w:ascii="Microsoft YaHei UI" w:hAnsi="Microsoft YaHei UI" w:eastAsia="Microsoft YaHei UI"/>
          <w:color w:val="0000CC"/>
          <w:lang w:eastAsia="zh-CN"/>
        </w:rPr>
        <w:t>.1环境保护</w:t>
      </w:r>
      <w:bookmarkEnd w:id="32"/>
      <w:bookmarkEnd w:id="33"/>
    </w:p>
    <w:p w14:paraId="51D406B3">
      <w:pPr>
        <w:pStyle w:val="5"/>
        <w:spacing w:before="130" w:line="364" w:lineRule="auto"/>
        <w:ind w:left="1560" w:leftChars="709" w:right="995" w:firstLine="480" w:firstLineChars="200"/>
        <w:jc w:val="both"/>
        <w:rPr>
          <w:lang w:eastAsia="zh-CN"/>
        </w:rPr>
      </w:pPr>
      <w:r>
        <w:rPr>
          <w:lang w:eastAsia="zh-CN"/>
        </w:rPr>
        <w:t>公司遵守国家有关环境保护、污染控制的法律法规，制定了多项关于环境保护的规章制度，如《废物污染防治制度》、《固体废物管理制度》、《环保管理考核制度》、《环境监测管理制度》、《企业环境应急管理制度》、《环保设施运行管理制度》等。公司负责组织、监督</w:t>
      </w:r>
      <w:r>
        <w:rPr>
          <w:rFonts w:hint="eastAsia"/>
          <w:lang w:eastAsia="zh-CN"/>
        </w:rPr>
        <w:t>工厂</w:t>
      </w:r>
      <w:r>
        <w:rPr>
          <w:lang w:eastAsia="zh-CN"/>
        </w:rPr>
        <w:t>的环保管理工作，各</w:t>
      </w:r>
      <w:r>
        <w:rPr>
          <w:rFonts w:hint="eastAsia"/>
          <w:lang w:eastAsia="zh-CN"/>
        </w:rPr>
        <w:t>部门</w:t>
      </w:r>
      <w:r>
        <w:rPr>
          <w:lang w:eastAsia="zh-CN"/>
        </w:rPr>
        <w:t>作为环境保护全过程管理及责任主体单位。公司还将环境保护工作纳入考核，定期指派专人检查环保制度的实施情况，对不符合公司环境保护政策的行为予以纠正，对突发环境事件实施责任追究，并采取相应补救措施。</w:t>
      </w:r>
    </w:p>
    <w:p w14:paraId="7D7B50B5">
      <w:pPr>
        <w:pStyle w:val="5"/>
        <w:spacing w:before="130" w:line="364" w:lineRule="auto"/>
        <w:ind w:left="1560" w:leftChars="709" w:right="995" w:firstLine="480" w:firstLineChars="200"/>
        <w:jc w:val="both"/>
        <w:rPr>
          <w:color w:val="FF0000"/>
          <w:lang w:eastAsia="zh-CN"/>
        </w:rPr>
      </w:pPr>
      <w:r>
        <w:rPr>
          <w:lang w:eastAsia="zh-CN"/>
        </w:rPr>
        <w:t>公司</w:t>
      </w:r>
      <w:r>
        <w:rPr>
          <w:rFonts w:hint="eastAsia"/>
          <w:lang w:eastAsia="zh-CN"/>
        </w:rPr>
        <w:t>投料、合成（冷凝）、结晶工段</w:t>
      </w:r>
      <w:r>
        <w:rPr>
          <w:lang w:eastAsia="zh-CN"/>
        </w:rPr>
        <w:t>均配置了符合要求的污染治理工艺，</w:t>
      </w:r>
      <w:r>
        <w:rPr>
          <w:rFonts w:hint="eastAsia"/>
          <w:lang w:eastAsia="zh-CN"/>
        </w:rPr>
        <w:t>2023</w:t>
      </w:r>
      <w:r>
        <w:rPr>
          <w:lang w:eastAsia="zh-CN"/>
        </w:rPr>
        <w:t xml:space="preserve"> 年，公司未发生重大环境污染事故，各类污染物排放均满足国家或地方排放标准、实现</w:t>
      </w:r>
      <w:r>
        <w:rPr>
          <w:color w:val="auto"/>
          <w:lang w:eastAsia="zh-CN"/>
        </w:rPr>
        <w:t>达标排放。公司按高标准投入建设各项环保设施，</w:t>
      </w:r>
      <w:r>
        <w:rPr>
          <w:rFonts w:hint="eastAsia"/>
          <w:color w:val="auto"/>
          <w:lang w:eastAsia="zh-CN"/>
        </w:rPr>
        <w:t>2023</w:t>
      </w:r>
      <w:r>
        <w:rPr>
          <w:color w:val="auto"/>
          <w:lang w:eastAsia="zh-CN"/>
        </w:rPr>
        <w:t xml:space="preserve"> 年度环保方面投入累计达</w:t>
      </w:r>
      <w:r>
        <w:rPr>
          <w:rFonts w:hint="eastAsia"/>
          <w:b/>
          <w:bCs/>
          <w:color w:val="auto"/>
          <w:lang w:eastAsia="zh-CN"/>
        </w:rPr>
        <w:t xml:space="preserve"> 1057</w:t>
      </w:r>
      <w:r>
        <w:rPr>
          <w:rFonts w:hint="eastAsia"/>
          <w:b/>
          <w:bCs/>
          <w:color w:val="auto"/>
          <w:lang w:val="en-US" w:eastAsia="zh-CN"/>
        </w:rPr>
        <w:t>.</w:t>
      </w:r>
      <w:r>
        <w:rPr>
          <w:rFonts w:hint="eastAsia"/>
          <w:b/>
          <w:bCs/>
          <w:color w:val="auto"/>
          <w:lang w:eastAsia="zh-CN"/>
        </w:rPr>
        <w:t>82</w:t>
      </w:r>
      <w:r>
        <w:rPr>
          <w:color w:val="auto"/>
          <w:lang w:eastAsia="zh-CN"/>
        </w:rPr>
        <w:t>万元；公司按相关法规要求按时足额缴纳环境保护相关税费，</w:t>
      </w:r>
      <w:r>
        <w:rPr>
          <w:rFonts w:hint="eastAsia"/>
          <w:color w:val="auto"/>
          <w:lang w:eastAsia="zh-CN"/>
        </w:rPr>
        <w:t>2023</w:t>
      </w:r>
      <w:r>
        <w:rPr>
          <w:color w:val="auto"/>
          <w:lang w:eastAsia="zh-CN"/>
        </w:rPr>
        <w:t xml:space="preserve"> 年度累计缴纳环境保护税</w:t>
      </w:r>
      <w:r>
        <w:rPr>
          <w:rFonts w:hint="eastAsia"/>
          <w:b/>
          <w:bCs/>
          <w:color w:val="auto"/>
          <w:lang w:eastAsia="zh-CN"/>
        </w:rPr>
        <w:t xml:space="preserve"> </w:t>
      </w:r>
      <w:r>
        <w:rPr>
          <w:rFonts w:hint="eastAsia"/>
          <w:b/>
          <w:bCs/>
          <w:color w:val="auto"/>
          <w:lang w:val="en-US" w:eastAsia="zh-CN"/>
        </w:rPr>
        <w:t>0.19</w:t>
      </w:r>
      <w:r>
        <w:rPr>
          <w:color w:val="auto"/>
          <w:lang w:eastAsia="zh-CN"/>
        </w:rPr>
        <w:t>万元。</w:t>
      </w:r>
    </w:p>
    <w:p w14:paraId="7ED4204B">
      <w:pPr>
        <w:pStyle w:val="4"/>
        <w:keepNext w:val="0"/>
        <w:keepLines w:val="0"/>
        <w:spacing w:before="0" w:after="0" w:line="240" w:lineRule="auto"/>
        <w:ind w:left="993" w:firstLine="992" w:firstLineChars="413"/>
        <w:rPr>
          <w:rFonts w:ascii="Microsoft YaHei UI" w:hAnsi="Microsoft YaHei UI" w:eastAsia="Microsoft YaHei UI" w:cs="Microsoft YaHei UI"/>
          <w:sz w:val="24"/>
          <w:szCs w:val="24"/>
          <w:lang w:eastAsia="zh-CN"/>
        </w:rPr>
      </w:pPr>
      <w:r>
        <w:rPr>
          <w:rFonts w:ascii="Microsoft YaHei UI" w:hAnsi="Microsoft YaHei UI" w:eastAsia="Microsoft YaHei UI" w:cs="Microsoft YaHei UI"/>
          <w:sz w:val="24"/>
          <w:szCs w:val="24"/>
          <w:lang w:eastAsia="zh-CN"/>
        </w:rPr>
        <w:t>环境保护制度</w:t>
      </w:r>
    </w:p>
    <w:p w14:paraId="2AE7D6DB">
      <w:pPr>
        <w:pStyle w:val="5"/>
        <w:spacing w:before="130" w:line="364" w:lineRule="auto"/>
        <w:ind w:left="1560" w:leftChars="709" w:right="995" w:firstLine="480" w:firstLineChars="200"/>
        <w:jc w:val="both"/>
        <w:rPr>
          <w:lang w:eastAsia="zh-CN"/>
        </w:rPr>
      </w:pPr>
      <w:r>
        <w:rPr>
          <w:lang w:eastAsia="zh-CN"/>
        </w:rPr>
        <w:t>公司严格遵守环境保护相关法律法规的规定，根据各项目对环境的影响程度制 定了对应的环境保护</w:t>
      </w:r>
      <w:r>
        <w:rPr>
          <w:color w:val="auto"/>
          <w:lang w:eastAsia="zh-CN"/>
        </w:rPr>
        <w:t>制度，将 ISO14001 环境管理体系标准融入公司环境管理体系中， 通过严格执行环境影响评价制度、依法申请环境保护行政许可、建设运行有效的污</w:t>
      </w:r>
      <w:r>
        <w:rPr>
          <w:rFonts w:hint="eastAsia"/>
          <w:color w:val="auto"/>
          <w:lang w:eastAsia="zh-CN"/>
        </w:rPr>
        <w:t>染防治设施等措施，从环境管理体系中实现污染物排放标准化、规范化</w:t>
      </w:r>
      <w:r>
        <w:rPr>
          <w:rFonts w:hint="eastAsia"/>
          <w:lang w:eastAsia="zh-CN"/>
        </w:rPr>
        <w:t>。</w:t>
      </w:r>
    </w:p>
    <w:p w14:paraId="1CE584F1">
      <w:pPr>
        <w:pStyle w:val="21"/>
        <w:autoSpaceDE/>
        <w:autoSpaceDN/>
        <w:spacing w:line="460" w:lineRule="exact"/>
        <w:ind w:left="1597" w:firstLine="0"/>
        <w:jc w:val="both"/>
        <w:rPr>
          <w:rFonts w:ascii="宋体" w:hAnsi="宋体" w:eastAsia="宋体" w:cs="宋体"/>
          <w:sz w:val="24"/>
          <w:szCs w:val="24"/>
          <w:lang w:eastAsia="zh-CN"/>
        </w:rPr>
        <w:sectPr>
          <w:headerReference r:id="rId5" w:type="default"/>
          <w:footerReference r:id="rId7" w:type="default"/>
          <w:headerReference r:id="rId6" w:type="even"/>
          <w:footerReference r:id="rId8" w:type="even"/>
          <w:pgSz w:w="11910" w:h="16840"/>
          <w:pgMar w:top="1418" w:right="454" w:bottom="1741" w:left="238" w:header="709" w:footer="1542" w:gutter="0"/>
          <w:cols w:space="720" w:num="1"/>
        </w:sectPr>
      </w:pPr>
    </w:p>
    <w:p w14:paraId="0AF2DBCF">
      <w:pPr>
        <w:pStyle w:val="5"/>
        <w:spacing w:before="6" w:line="240" w:lineRule="atLeast"/>
        <w:ind w:left="1561" w:leftChars="709" w:hanging="1"/>
        <w:rPr>
          <w:sz w:val="27"/>
          <w:lang w:eastAsia="zh-CN"/>
        </w:rPr>
      </w:pPr>
      <w:r>
        <mc:AlternateContent>
          <mc:Choice Requires="wps">
            <w:drawing>
              <wp:anchor distT="0" distB="0" distL="0" distR="0" simplePos="0" relativeHeight="251663360" behindDoc="1" locked="0" layoutInCell="1" allowOverlap="1">
                <wp:simplePos x="0" y="0"/>
                <wp:positionH relativeFrom="page">
                  <wp:posOffset>899795</wp:posOffset>
                </wp:positionH>
                <wp:positionV relativeFrom="paragraph">
                  <wp:posOffset>112395</wp:posOffset>
                </wp:positionV>
                <wp:extent cx="5760085" cy="1270"/>
                <wp:effectExtent l="0" t="0" r="0" b="0"/>
                <wp:wrapTopAndBottom/>
                <wp:docPr id="1604731790" name="Freeform 84"/>
                <wp:cNvGraphicFramePr/>
                <a:graphic xmlns:a="http://schemas.openxmlformats.org/drawingml/2006/main">
                  <a:graphicData uri="http://schemas.microsoft.com/office/word/2010/wordprocessingShape">
                    <wps:wsp>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18288">
                          <a:solidFill>
                            <a:srgbClr val="528135"/>
                          </a:solidFill>
                          <a:round/>
                        </a:ln>
                      </wps:spPr>
                      <wps:bodyPr rot="0" vert="horz" wrap="square" lIns="91440" tIns="45720" rIns="91440" bIns="45720" anchor="t" anchorCtr="0" upright="1">
                        <a:noAutofit/>
                      </wps:bodyPr>
                    </wps:wsp>
                  </a:graphicData>
                </a:graphic>
              </wp:anchor>
            </w:drawing>
          </mc:Choice>
          <mc:Fallback>
            <w:pict>
              <v:shape id="Freeform 84" o:spid="_x0000_s1026" o:spt="100" style="position:absolute;left:0pt;margin-left:70.85pt;margin-top:8.85pt;height:0.1pt;width:453.55pt;mso-position-horizontal-relative:page;mso-wrap-distance-bottom:0pt;mso-wrap-distance-top:0pt;z-index:-251653120;mso-width-relative:page;mso-height-relative:page;" filled="f" stroked="t" coordsize="9071,1" o:gfxdata="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yzg+DWAAAACgEAAA8AAAAAAAAAAQAgAAAAIgAAAGRycy9kb3ducmV2&#10;LnhtbFBLAQIUABQAAAAIAIdO4kD4A1OkqQIAAMwFAAAOAAAAAAAAAAEAIAAAACUBAABkcnMvZTJv&#10;RG9jLnhtbFBLBQYAAAAABgAGAFkBAABABgAAAAA=&#10;" path="m0,0l9071,0e">
                <v:path o:connectlocs="0,0;5760085,0" o:connectangles="0,0"/>
                <v:fill on="f" focussize="0,0"/>
                <v:stroke weight="1.44pt" color="#528135" joinstyle="round"/>
                <v:imagedata o:title=""/>
                <o:lock v:ext="edit" aspectratio="f"/>
                <w10:wrap type="topAndBottom"/>
              </v:shape>
            </w:pict>
          </mc:Fallback>
        </mc:AlternateContent>
      </w:r>
      <w:r>
        <w:rPr>
          <w:color w:val="0000FF"/>
          <w:sz w:val="21"/>
          <w:lang w:eastAsia="zh-CN"/>
        </w:rPr>
        <w:t>环境保护相关法律法规：</w:t>
      </w:r>
    </w:p>
    <w:p w14:paraId="21E73AF0">
      <w:pPr>
        <w:spacing w:line="240" w:lineRule="atLeast"/>
        <w:ind w:left="1560" w:right="1134"/>
        <w:rPr>
          <w:w w:val="95"/>
          <w:sz w:val="21"/>
          <w:lang w:eastAsia="zh-CN"/>
        </w:rPr>
      </w:pPr>
      <w:r>
        <w:rPr>
          <w:w w:val="95"/>
          <w:sz w:val="21"/>
          <w:lang w:eastAsia="zh-CN"/>
        </w:rPr>
        <w:t>《中华人民共和国环境保护法》《中华人民共和国大气污染防治法》《中华人民共和国水污染防 治法》《中华人民共和国环境噪声污染防治法》《中华人民共和国固体废物污染环境防治法》</w:t>
      </w:r>
    </w:p>
    <w:p w14:paraId="3ECCDF81">
      <w:pPr>
        <w:spacing w:line="240" w:lineRule="atLeast"/>
        <w:ind w:left="1560" w:right="1134"/>
        <w:rPr>
          <w:w w:val="95"/>
          <w:sz w:val="21"/>
          <w:lang w:eastAsia="zh-CN"/>
        </w:rPr>
      </w:pPr>
      <w:r>
        <w:rPr>
          <w:w w:val="95"/>
          <w:sz w:val="21"/>
          <w:lang w:eastAsia="zh-CN"/>
        </w:rPr>
        <w:t xml:space="preserve">《排污许可管理条例》…… </w:t>
      </w:r>
    </w:p>
    <w:p w14:paraId="077E3959">
      <w:pPr>
        <w:spacing w:line="240" w:lineRule="atLeast"/>
        <w:ind w:left="1560" w:right="1134"/>
        <w:rPr>
          <w:w w:val="95"/>
          <w:sz w:val="21"/>
          <w:lang w:eastAsia="zh-CN"/>
        </w:rPr>
      </w:pPr>
      <w:r>
        <w:rPr>
          <w:w w:val="95"/>
          <w:sz w:val="21"/>
          <w:lang w:eastAsia="zh-CN"/>
        </w:rPr>
        <mc:AlternateContent>
          <mc:Choice Requires="wps">
            <w:drawing>
              <wp:anchor distT="0" distB="0" distL="114300" distR="114300" simplePos="0" relativeHeight="251662336" behindDoc="1" locked="0" layoutInCell="1" allowOverlap="1">
                <wp:simplePos x="0" y="0"/>
                <wp:positionH relativeFrom="page">
                  <wp:posOffset>899795</wp:posOffset>
                </wp:positionH>
                <wp:positionV relativeFrom="paragraph">
                  <wp:posOffset>113665</wp:posOffset>
                </wp:positionV>
                <wp:extent cx="5760085" cy="0"/>
                <wp:effectExtent l="0" t="0" r="0" b="0"/>
                <wp:wrapNone/>
                <wp:docPr id="205836837" name="Line 83"/>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8288">
                          <a:solidFill>
                            <a:srgbClr val="CFCECE"/>
                          </a:solidFill>
                          <a:round/>
                        </a:ln>
                      </wps:spPr>
                      <wps:bodyPr/>
                    </wps:wsp>
                  </a:graphicData>
                </a:graphic>
              </wp:anchor>
            </w:drawing>
          </mc:Choice>
          <mc:Fallback>
            <w:pict>
              <v:line id="Line 83" o:spid="_x0000_s1026" o:spt="20" style="position:absolute;left:0pt;margin-left:70.85pt;margin-top:8.95pt;height:0pt;width:453.55pt;mso-position-horizontal-relative:page;z-index:-251654144;mso-width-relative:page;mso-height-relative:page;" filled="f" stroked="t" coordsize="21600,21600" o:gfxdata="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BY+19cAAAAKAQAADwAAAAAAAAABACAA&#10;AAAiAAAAZHJzL2Rvd25yZXYueG1sUEsBAhQAFAAAAAgAh07iQDD5LUHVAQAAqQMAAA4AAAAAAAAA&#10;AQAgAAAAJgEAAGRycy9lMm9Eb2MueG1sUEsFBgAAAAAGAAYAWQEAAG0FAAAAAA==&#10;">
                <v:fill on="f" focussize="0,0"/>
                <v:stroke weight="1.44pt" color="#CFCECE" joinstyle="round"/>
                <v:imagedata o:title=""/>
                <o:lock v:ext="edit" aspectratio="f"/>
              </v:line>
            </w:pict>
          </mc:Fallback>
        </mc:AlternateContent>
      </w:r>
    </w:p>
    <w:p w14:paraId="54A73B4B">
      <w:pPr>
        <w:spacing w:line="240" w:lineRule="atLeast"/>
        <w:ind w:left="1560" w:right="1417"/>
        <w:rPr>
          <w:color w:val="0000FF"/>
          <w:sz w:val="21"/>
          <w:szCs w:val="24"/>
          <w:lang w:eastAsia="zh-CN"/>
        </w:rPr>
      </w:pPr>
      <w:r>
        <w:rPr>
          <w:color w:val="0000FF"/>
          <w:sz w:val="21"/>
          <w:szCs w:val="24"/>
          <w:lang w:eastAsia="zh-CN"/>
        </w:rPr>
        <w:t>环境保护相关行业标准：</w:t>
      </w:r>
    </w:p>
    <w:p w14:paraId="2E9A8783">
      <w:pPr>
        <w:spacing w:line="240" w:lineRule="atLeast"/>
        <w:ind w:left="1276" w:right="1417"/>
        <w:rPr>
          <w:w w:val="95"/>
          <w:sz w:val="21"/>
          <w:lang w:eastAsia="zh-CN"/>
        </w:rPr>
      </w:pPr>
      <w:r>
        <w:rPr>
          <w:w w:val="95"/>
          <w:sz w:val="21"/>
          <w:lang w:eastAsia="zh-CN"/>
        </w:rPr>
        <w:t>《GB8978-1996 污水综合排放标准》《GB12348-2008 工业企业厂界环境噪声排放标准》《GB16297-1996 大气污染物综合排放标准》》……</w:t>
      </w:r>
    </w:p>
    <w:p w14:paraId="7FB33CA9">
      <w:pPr>
        <w:rPr>
          <w:lang w:eastAsia="zh-CN"/>
        </w:rPr>
      </w:pPr>
      <w:r>
        <w:rPr>
          <w:w w:val="95"/>
          <w:sz w:val="21"/>
          <w:lang w:eastAsia="zh-CN"/>
        </w:rPr>
        <mc:AlternateContent>
          <mc:Choice Requires="wps">
            <w:drawing>
              <wp:anchor distT="0" distB="0" distL="114300" distR="114300" simplePos="0" relativeHeight="251661312" behindDoc="1" locked="0" layoutInCell="1" allowOverlap="1">
                <wp:simplePos x="0" y="0"/>
                <wp:positionH relativeFrom="page">
                  <wp:posOffset>898525</wp:posOffset>
                </wp:positionH>
                <wp:positionV relativeFrom="paragraph">
                  <wp:posOffset>131445</wp:posOffset>
                </wp:positionV>
                <wp:extent cx="5760085" cy="0"/>
                <wp:effectExtent l="0" t="0" r="0" b="0"/>
                <wp:wrapNone/>
                <wp:docPr id="345536371" name="Line 8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8288">
                          <a:solidFill>
                            <a:srgbClr val="528135"/>
                          </a:solidFill>
                          <a:round/>
                        </a:ln>
                      </wps:spPr>
                      <wps:bodyPr/>
                    </wps:wsp>
                  </a:graphicData>
                </a:graphic>
              </wp:anchor>
            </w:drawing>
          </mc:Choice>
          <mc:Fallback>
            <w:pict>
              <v:line id="Line 82" o:spid="_x0000_s1026" o:spt="20" style="position:absolute;left:0pt;margin-left:70.75pt;margin-top:10.35pt;height:0pt;width:453.55pt;mso-position-horizontal-relative:page;z-index:-251655168;mso-width-relative:page;mso-height-relative:page;" filled="f" stroked="t" coordsize="21600,21600" o:gfxdata="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M3f9cAAAAKAQAADwAAAAAAAAABACAA&#10;AAAiAAAAZHJzL2Rvd25yZXYueG1sUEsBAhQAFAAAAAgAh07iQB2sjOLVAQAAqQMAAA4AAAAAAAAA&#10;AQAgAAAAJgEAAGRycy9lMm9Eb2MueG1sUEsFBgAAAAAGAAYAWQEAAG0FAAAAAA==&#10;">
                <v:fill on="f" focussize="0,0"/>
                <v:stroke weight="1.44pt" color="#528135" joinstyle="round"/>
                <v:imagedata o:title=""/>
                <o:lock v:ext="edit" aspectratio="f"/>
              </v:line>
            </w:pict>
          </mc:Fallback>
        </mc:AlternateContent>
      </w:r>
    </w:p>
    <w:p w14:paraId="3138B6F1">
      <w:pPr>
        <w:pStyle w:val="5"/>
        <w:spacing w:before="130" w:line="364" w:lineRule="auto"/>
        <w:ind w:left="1560" w:leftChars="709" w:right="995" w:firstLine="480" w:firstLineChars="200"/>
        <w:jc w:val="both"/>
        <w:rPr>
          <w:lang w:eastAsia="zh-CN"/>
        </w:rPr>
      </w:pPr>
      <w:r>
        <w:rPr>
          <w:lang w:eastAsia="zh-CN"/>
        </w:rPr>
        <w:t>公司均按照《中华人民共和国环境保护法》、《中华人民共和国环境影响评价法》等相关法律法规的要求，进行环境影响评价，环境影响评价文件均经环境主管部门批准，试生产前取得环境主管部门批准，试生产期间组织建设项目竣工环境保护验收，配套的环保设施与主体工程同时设计、同时施工、同时投入使用。</w:t>
      </w:r>
    </w:p>
    <w:p w14:paraId="778407D6">
      <w:pPr>
        <w:pStyle w:val="4"/>
        <w:ind w:left="993" w:firstLine="1327" w:firstLineChars="413"/>
        <w:rPr>
          <w:lang w:eastAsia="zh-CN"/>
        </w:rPr>
      </w:pPr>
      <w:r>
        <w:rPr>
          <w:lang w:eastAsia="zh-CN"/>
        </w:rPr>
        <w:t>突发环境事件应急制度</w:t>
      </w:r>
    </w:p>
    <w:p w14:paraId="2FD190F1">
      <w:pPr>
        <w:pStyle w:val="5"/>
        <w:spacing w:before="130" w:line="364" w:lineRule="auto"/>
        <w:ind w:left="1560" w:leftChars="709" w:right="995" w:firstLine="480" w:firstLineChars="200"/>
        <w:jc w:val="both"/>
        <w:rPr>
          <w:lang w:eastAsia="zh-CN"/>
        </w:rPr>
      </w:pPr>
      <w:r>
        <w:rPr>
          <w:lang w:eastAsia="zh-CN"/>
        </w:rPr>
        <w:t>为预防和控制突发环境应急事件，提高环境风险防控水平，公司建立突发环境应急制度、编制突发环境应急预案，定期开展预案演练，通过培训提升相关人员的环保管理意识和能力，确保环境污染事件突发时，能快速响应、有序行动、降低危</w:t>
      </w:r>
      <w:r>
        <w:rPr>
          <w:rFonts w:hint="eastAsia"/>
          <w:lang w:eastAsia="zh-CN"/>
        </w:rPr>
        <w:t>害。</w:t>
      </w:r>
    </w:p>
    <w:p w14:paraId="15B23689">
      <w:pPr>
        <w:pStyle w:val="5"/>
        <w:spacing w:before="130" w:line="364" w:lineRule="auto"/>
        <w:ind w:left="1560" w:leftChars="709" w:right="995" w:firstLine="480" w:firstLineChars="200"/>
        <w:jc w:val="both"/>
        <w:rPr>
          <w:lang w:eastAsia="zh-CN"/>
        </w:rPr>
      </w:pPr>
      <w:r>
        <w:rPr>
          <w:lang w:eastAsia="zh-CN"/>
        </w:rPr>
        <w:t>为最大程度地预防和减少环境污染事故造成的人身伤害和财产损失及社会负面影响，公司均组织编制了《突发环境污染事故应急预案》，明确了应急管理组织机构及其职责、在突发事故下全厂各部门的职责、发生的突发性环境污染事故处置或事件的控制和救援工作，并由公司安委会组织有关人员对应急预案进行演习，验证预案的可行性，同时督促有关部门及时对预案漏洞进行调整。</w:t>
      </w:r>
      <w:r>
        <w:rPr>
          <w:rFonts w:hint="eastAsia"/>
          <w:lang w:eastAsia="zh-CN"/>
        </w:rPr>
        <w:t>2023</w:t>
      </w:r>
      <w:r>
        <w:rPr>
          <w:lang w:eastAsia="zh-CN"/>
        </w:rPr>
        <w:t xml:space="preserve"> 年，各项目公司均未发生重大环境风险事故。</w:t>
      </w:r>
    </w:p>
    <w:p w14:paraId="372B0AB7">
      <w:pPr>
        <w:pStyle w:val="4"/>
        <w:ind w:left="993" w:firstLine="1327" w:firstLineChars="413"/>
        <w:rPr>
          <w:lang w:eastAsia="zh-CN"/>
        </w:rPr>
      </w:pPr>
      <w:r>
        <w:rPr>
          <w:lang w:eastAsia="zh-CN"/>
        </w:rPr>
        <w:t>污染物排放管理</w:t>
      </w:r>
    </w:p>
    <w:p w14:paraId="21C57498">
      <w:pPr>
        <w:pStyle w:val="5"/>
        <w:spacing w:before="130" w:line="364" w:lineRule="auto"/>
        <w:ind w:left="1560" w:leftChars="709" w:right="995" w:firstLine="480" w:firstLineChars="200"/>
        <w:jc w:val="both"/>
        <w:rPr>
          <w:lang w:eastAsia="zh-CN"/>
        </w:rPr>
      </w:pPr>
      <w:r>
        <w:rPr>
          <w:lang w:eastAsia="zh-CN"/>
        </w:rPr>
        <w:t xml:space="preserve">根据《中华人民共和国环境保护法》、《排污许可管理办法（试行）》等有关规定，结合《排污单位自行监测技术指南》（HJ819）等标准、规范的要求，公司各重点排污单位制定了 </w:t>
      </w:r>
      <w:r>
        <w:rPr>
          <w:rFonts w:hint="eastAsia"/>
          <w:lang w:eastAsia="zh-CN"/>
        </w:rPr>
        <w:t>2023</w:t>
      </w:r>
      <w:r>
        <w:rPr>
          <w:lang w:eastAsia="zh-CN"/>
        </w:rPr>
        <w:t xml:space="preserve"> 年环境自行监测方案，并在全国排污许可证管理信息平台上进行公开。</w:t>
      </w:r>
      <w:r>
        <w:rPr>
          <w:rFonts w:hint="eastAsia"/>
          <w:lang w:eastAsia="zh-CN"/>
        </w:rPr>
        <w:t>2023</w:t>
      </w:r>
      <w:r>
        <w:rPr>
          <w:lang w:eastAsia="zh-CN"/>
        </w:rPr>
        <w:t xml:space="preserve"> 年，公司各重点排污单位严格执行环境自行监测方案，实现各类污染物达标排放。</w:t>
      </w:r>
    </w:p>
    <w:p w14:paraId="66789B93">
      <w:pPr>
        <w:pStyle w:val="5"/>
        <w:spacing w:before="130" w:line="364" w:lineRule="auto"/>
        <w:ind w:left="1560" w:leftChars="709" w:right="995" w:firstLine="480" w:firstLineChars="200"/>
        <w:jc w:val="both"/>
        <w:rPr>
          <w:color w:val="auto"/>
          <w:lang w:eastAsia="zh-CN"/>
        </w:rPr>
      </w:pPr>
      <w:r>
        <w:rPr>
          <w:color w:val="auto"/>
          <w:lang w:eastAsia="zh-CN"/>
        </w:rPr>
        <w:t>公司，生产经营过程中产生的主要污染物有废气、废水，</w:t>
      </w:r>
      <w:r>
        <w:rPr>
          <w:rFonts w:hint="eastAsia"/>
          <w:color w:val="auto"/>
          <w:lang w:eastAsia="zh-CN"/>
        </w:rPr>
        <w:t>2023</w:t>
      </w:r>
      <w:r>
        <w:rPr>
          <w:color w:val="auto"/>
          <w:lang w:eastAsia="zh-CN"/>
        </w:rPr>
        <w:t xml:space="preserve"> 年，公司各项目的污染防治设施正常运行，有效降低各类污染物的排放总量。</w:t>
      </w:r>
    </w:p>
    <w:tbl>
      <w:tblPr>
        <w:tblStyle w:val="11"/>
        <w:tblpPr w:leftFromText="180" w:rightFromText="180" w:vertAnchor="text" w:horzAnchor="page" w:tblpX="2178" w:tblpY="83"/>
        <w:tblOverlap w:val="never"/>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253"/>
        <w:gridCol w:w="2976"/>
      </w:tblGrid>
      <w:tr w14:paraId="1C92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17" w:type="dxa"/>
            <w:vAlign w:val="center"/>
          </w:tcPr>
          <w:p w14:paraId="7DD632E7">
            <w:pPr>
              <w:pStyle w:val="5"/>
              <w:spacing w:line="364" w:lineRule="auto"/>
              <w:ind w:right="-549"/>
              <w:jc w:val="both"/>
              <w:rPr>
                <w:color w:val="auto"/>
                <w:lang w:eastAsia="zh-CN"/>
              </w:rPr>
            </w:pPr>
            <w:r>
              <w:rPr>
                <w:rFonts w:hint="eastAsia"/>
                <w:color w:val="auto"/>
                <w:lang w:eastAsia="zh-CN"/>
              </w:rPr>
              <w:t>类别</w:t>
            </w:r>
          </w:p>
        </w:tc>
        <w:tc>
          <w:tcPr>
            <w:tcW w:w="4253" w:type="dxa"/>
            <w:vAlign w:val="center"/>
          </w:tcPr>
          <w:p w14:paraId="1CB2F05C">
            <w:pPr>
              <w:pStyle w:val="5"/>
              <w:spacing w:line="364" w:lineRule="auto"/>
              <w:ind w:right="18"/>
              <w:jc w:val="both"/>
              <w:rPr>
                <w:color w:val="auto"/>
                <w:spacing w:val="2"/>
                <w:sz w:val="21"/>
                <w:lang w:eastAsia="zh-CN"/>
              </w:rPr>
            </w:pPr>
            <w:r>
              <w:rPr>
                <w:rFonts w:hint="eastAsia"/>
                <w:color w:val="auto"/>
                <w:spacing w:val="2"/>
                <w:sz w:val="21"/>
                <w:lang w:eastAsia="zh-CN"/>
              </w:rPr>
              <w:t>主要控制指标/主要内容</w:t>
            </w:r>
          </w:p>
        </w:tc>
        <w:tc>
          <w:tcPr>
            <w:tcW w:w="2976" w:type="dxa"/>
            <w:vAlign w:val="center"/>
          </w:tcPr>
          <w:p w14:paraId="22A1DC35">
            <w:pPr>
              <w:pStyle w:val="5"/>
              <w:spacing w:line="364" w:lineRule="auto"/>
              <w:ind w:right="18"/>
              <w:jc w:val="both"/>
              <w:rPr>
                <w:color w:val="auto"/>
                <w:spacing w:val="2"/>
                <w:sz w:val="21"/>
                <w:lang w:eastAsia="zh-CN"/>
              </w:rPr>
            </w:pPr>
            <w:r>
              <w:rPr>
                <w:rFonts w:hint="eastAsia"/>
                <w:color w:val="auto"/>
                <w:spacing w:val="2"/>
                <w:sz w:val="21"/>
                <w:lang w:eastAsia="zh-CN"/>
              </w:rPr>
              <w:t>对污染物的处理</w:t>
            </w:r>
          </w:p>
        </w:tc>
      </w:tr>
      <w:tr w14:paraId="7EE4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vAlign w:val="center"/>
          </w:tcPr>
          <w:p w14:paraId="4171D4D7">
            <w:pPr>
              <w:pStyle w:val="5"/>
              <w:spacing w:line="364" w:lineRule="auto"/>
              <w:ind w:right="18"/>
              <w:jc w:val="both"/>
              <w:rPr>
                <w:color w:val="auto"/>
                <w:spacing w:val="2"/>
                <w:sz w:val="21"/>
                <w:lang w:eastAsia="zh-CN"/>
              </w:rPr>
            </w:pPr>
            <w:r>
              <w:rPr>
                <w:rFonts w:hint="eastAsia"/>
                <w:color w:val="auto"/>
                <w:spacing w:val="2"/>
                <w:sz w:val="21"/>
                <w:lang w:eastAsia="zh-CN"/>
              </w:rPr>
              <w:t>废气</w:t>
            </w:r>
          </w:p>
        </w:tc>
        <w:tc>
          <w:tcPr>
            <w:tcW w:w="4253" w:type="dxa"/>
            <w:vAlign w:val="center"/>
          </w:tcPr>
          <w:p w14:paraId="1516C0ED">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非甲烷总烃</w:t>
            </w:r>
          </w:p>
        </w:tc>
        <w:tc>
          <w:tcPr>
            <w:tcW w:w="2976" w:type="dxa"/>
            <w:vAlign w:val="center"/>
          </w:tcPr>
          <w:p w14:paraId="76782E32">
            <w:pPr>
              <w:pStyle w:val="5"/>
              <w:spacing w:line="364" w:lineRule="auto"/>
              <w:ind w:right="18"/>
              <w:jc w:val="both"/>
              <w:rPr>
                <w:color w:val="auto"/>
                <w:spacing w:val="2"/>
                <w:sz w:val="21"/>
                <w:lang w:eastAsia="zh-CN"/>
              </w:rPr>
            </w:pPr>
            <w:r>
              <w:rPr>
                <w:rFonts w:hint="eastAsia"/>
                <w:color w:val="auto"/>
                <w:spacing w:val="2"/>
                <w:sz w:val="21"/>
                <w:lang w:eastAsia="zh-CN"/>
              </w:rPr>
              <w:t>主要采用</w:t>
            </w:r>
            <w:r>
              <w:rPr>
                <w:rFonts w:hint="eastAsia"/>
                <w:color w:val="auto"/>
                <w:spacing w:val="2"/>
                <w:sz w:val="21"/>
                <w:lang w:val="en-US" w:eastAsia="zh-CN"/>
              </w:rPr>
              <w:t>两级冷凝+活性炭吸附</w:t>
            </w:r>
            <w:r>
              <w:rPr>
                <w:rFonts w:hint="eastAsia"/>
                <w:color w:val="auto"/>
                <w:spacing w:val="2"/>
                <w:sz w:val="21"/>
                <w:lang w:eastAsia="zh-CN"/>
              </w:rPr>
              <w:t>处理方式</w:t>
            </w:r>
          </w:p>
        </w:tc>
      </w:tr>
      <w:tr w14:paraId="19C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5646B412">
            <w:pPr>
              <w:pStyle w:val="5"/>
              <w:spacing w:line="364" w:lineRule="auto"/>
              <w:ind w:right="18"/>
              <w:jc w:val="both"/>
              <w:rPr>
                <w:color w:val="auto"/>
                <w:spacing w:val="2"/>
                <w:sz w:val="21"/>
                <w:lang w:eastAsia="zh-CN"/>
              </w:rPr>
            </w:pPr>
          </w:p>
        </w:tc>
        <w:tc>
          <w:tcPr>
            <w:tcW w:w="4253" w:type="dxa"/>
            <w:vAlign w:val="center"/>
          </w:tcPr>
          <w:p w14:paraId="6692C057">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粉尘</w:t>
            </w:r>
          </w:p>
        </w:tc>
        <w:tc>
          <w:tcPr>
            <w:tcW w:w="2976" w:type="dxa"/>
            <w:vAlign w:val="center"/>
          </w:tcPr>
          <w:p w14:paraId="0CA6994F">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布袋除尘</w:t>
            </w:r>
          </w:p>
        </w:tc>
      </w:tr>
      <w:tr w14:paraId="0026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4A0AA0B7">
            <w:pPr>
              <w:pStyle w:val="5"/>
              <w:spacing w:line="364" w:lineRule="auto"/>
              <w:ind w:right="18"/>
              <w:jc w:val="both"/>
              <w:rPr>
                <w:color w:val="auto"/>
                <w:spacing w:val="2"/>
                <w:sz w:val="21"/>
                <w:lang w:eastAsia="zh-CN"/>
              </w:rPr>
            </w:pPr>
          </w:p>
        </w:tc>
        <w:tc>
          <w:tcPr>
            <w:tcW w:w="4253" w:type="dxa"/>
            <w:vAlign w:val="center"/>
          </w:tcPr>
          <w:p w14:paraId="0B9E564C">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氯化氢、二氧化硫</w:t>
            </w:r>
          </w:p>
        </w:tc>
        <w:tc>
          <w:tcPr>
            <w:tcW w:w="2976" w:type="dxa"/>
            <w:vAlign w:val="center"/>
          </w:tcPr>
          <w:p w14:paraId="695581EC">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两级水吸收+一级碱吸收</w:t>
            </w:r>
          </w:p>
        </w:tc>
      </w:tr>
      <w:tr w14:paraId="17A2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14C34676">
            <w:pPr>
              <w:pStyle w:val="5"/>
              <w:spacing w:line="364" w:lineRule="auto"/>
              <w:ind w:right="18"/>
              <w:jc w:val="both"/>
              <w:rPr>
                <w:color w:val="auto"/>
                <w:spacing w:val="2"/>
                <w:sz w:val="21"/>
                <w:lang w:eastAsia="zh-CN"/>
              </w:rPr>
            </w:pPr>
          </w:p>
        </w:tc>
        <w:tc>
          <w:tcPr>
            <w:tcW w:w="4253" w:type="dxa"/>
            <w:vAlign w:val="center"/>
          </w:tcPr>
          <w:p w14:paraId="2D7BD8FD">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非甲烷总烃</w:t>
            </w:r>
          </w:p>
        </w:tc>
        <w:tc>
          <w:tcPr>
            <w:tcW w:w="2976" w:type="dxa"/>
            <w:vAlign w:val="center"/>
          </w:tcPr>
          <w:p w14:paraId="45511F9B">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两级碱吸收</w:t>
            </w:r>
          </w:p>
        </w:tc>
      </w:tr>
      <w:tr w14:paraId="2415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2EB19869">
            <w:pPr>
              <w:pStyle w:val="5"/>
              <w:spacing w:line="364" w:lineRule="auto"/>
              <w:ind w:right="18"/>
              <w:jc w:val="both"/>
              <w:rPr>
                <w:color w:val="auto"/>
                <w:spacing w:val="2"/>
                <w:sz w:val="21"/>
                <w:lang w:eastAsia="zh-CN"/>
              </w:rPr>
            </w:pPr>
          </w:p>
        </w:tc>
        <w:tc>
          <w:tcPr>
            <w:tcW w:w="4253" w:type="dxa"/>
            <w:vAlign w:val="center"/>
          </w:tcPr>
          <w:p w14:paraId="1E0898EF">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二氯甲烷、乙腈、乙酸乙酯、非甲烷总烃、CO</w:t>
            </w:r>
          </w:p>
        </w:tc>
        <w:tc>
          <w:tcPr>
            <w:tcW w:w="2976" w:type="dxa"/>
            <w:vAlign w:val="center"/>
          </w:tcPr>
          <w:p w14:paraId="33505B69">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两级冷凝+活性炭吸附</w:t>
            </w:r>
          </w:p>
        </w:tc>
      </w:tr>
      <w:tr w14:paraId="6681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52DE0476">
            <w:pPr>
              <w:pStyle w:val="5"/>
              <w:spacing w:line="364" w:lineRule="auto"/>
              <w:ind w:right="18"/>
              <w:jc w:val="both"/>
              <w:rPr>
                <w:color w:val="auto"/>
                <w:spacing w:val="2"/>
                <w:sz w:val="21"/>
                <w:lang w:eastAsia="zh-CN"/>
              </w:rPr>
            </w:pPr>
          </w:p>
        </w:tc>
        <w:tc>
          <w:tcPr>
            <w:tcW w:w="4253" w:type="dxa"/>
            <w:vAlign w:val="center"/>
          </w:tcPr>
          <w:p w14:paraId="1925C146">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氟化氢</w:t>
            </w:r>
          </w:p>
        </w:tc>
        <w:tc>
          <w:tcPr>
            <w:tcW w:w="2976" w:type="dxa"/>
            <w:vAlign w:val="center"/>
          </w:tcPr>
          <w:p w14:paraId="5D434614">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两级碱吸收</w:t>
            </w:r>
          </w:p>
        </w:tc>
      </w:tr>
      <w:tr w14:paraId="33DB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4EE3DB68">
            <w:pPr>
              <w:pStyle w:val="5"/>
              <w:spacing w:line="364" w:lineRule="auto"/>
              <w:ind w:right="18"/>
              <w:jc w:val="both"/>
              <w:rPr>
                <w:color w:val="auto"/>
                <w:spacing w:val="2"/>
                <w:sz w:val="21"/>
                <w:lang w:eastAsia="zh-CN"/>
              </w:rPr>
            </w:pPr>
          </w:p>
        </w:tc>
        <w:tc>
          <w:tcPr>
            <w:tcW w:w="4253" w:type="dxa"/>
            <w:vAlign w:val="center"/>
          </w:tcPr>
          <w:p w14:paraId="4F9A0969">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氟化物、氯化氢</w:t>
            </w:r>
          </w:p>
        </w:tc>
        <w:tc>
          <w:tcPr>
            <w:tcW w:w="2976" w:type="dxa"/>
            <w:vAlign w:val="center"/>
          </w:tcPr>
          <w:p w14:paraId="7D61584E">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二级脱氟+二级水洗</w:t>
            </w:r>
          </w:p>
        </w:tc>
      </w:tr>
      <w:tr w14:paraId="466F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07BEC7E3">
            <w:pPr>
              <w:pStyle w:val="5"/>
              <w:spacing w:line="364" w:lineRule="auto"/>
              <w:ind w:right="18"/>
              <w:jc w:val="both"/>
              <w:rPr>
                <w:color w:val="auto"/>
                <w:spacing w:val="2"/>
                <w:sz w:val="21"/>
                <w:lang w:eastAsia="zh-CN"/>
              </w:rPr>
            </w:pPr>
          </w:p>
        </w:tc>
        <w:tc>
          <w:tcPr>
            <w:tcW w:w="4253" w:type="dxa"/>
            <w:vAlign w:val="center"/>
          </w:tcPr>
          <w:p w14:paraId="02CC5329">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非甲烷总烃（实验室、仓库）</w:t>
            </w:r>
          </w:p>
        </w:tc>
        <w:tc>
          <w:tcPr>
            <w:tcW w:w="2976" w:type="dxa"/>
            <w:vAlign w:val="center"/>
          </w:tcPr>
          <w:p w14:paraId="6C4C6080">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活性炭吸附</w:t>
            </w:r>
          </w:p>
        </w:tc>
      </w:tr>
      <w:tr w14:paraId="4D67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6C1AA435">
            <w:pPr>
              <w:pStyle w:val="5"/>
              <w:spacing w:line="364" w:lineRule="auto"/>
              <w:ind w:right="18"/>
              <w:jc w:val="both"/>
              <w:rPr>
                <w:color w:val="auto"/>
                <w:spacing w:val="2"/>
                <w:sz w:val="21"/>
                <w:lang w:eastAsia="zh-CN"/>
              </w:rPr>
            </w:pPr>
            <w:r>
              <w:rPr>
                <w:rFonts w:hint="eastAsia"/>
                <w:color w:val="auto"/>
                <w:spacing w:val="2"/>
                <w:sz w:val="21"/>
                <w:lang w:eastAsia="zh-CN"/>
              </w:rPr>
              <w:t>废水</w:t>
            </w:r>
          </w:p>
        </w:tc>
        <w:tc>
          <w:tcPr>
            <w:tcW w:w="4253" w:type="dxa"/>
            <w:vAlign w:val="center"/>
          </w:tcPr>
          <w:p w14:paraId="2881205C">
            <w:pPr>
              <w:pStyle w:val="5"/>
              <w:spacing w:line="364" w:lineRule="auto"/>
              <w:ind w:right="18"/>
              <w:jc w:val="both"/>
              <w:rPr>
                <w:color w:val="auto"/>
                <w:spacing w:val="2"/>
                <w:sz w:val="21"/>
                <w:lang w:eastAsia="zh-CN"/>
              </w:rPr>
            </w:pPr>
            <w:r>
              <w:rPr>
                <w:color w:val="auto"/>
                <w:spacing w:val="2"/>
                <w:sz w:val="21"/>
                <w:lang w:eastAsia="zh-CN"/>
              </w:rPr>
              <w:t>PH</w:t>
            </w:r>
            <w:r>
              <w:rPr>
                <w:rFonts w:hint="eastAsia"/>
                <w:color w:val="auto"/>
                <w:spacing w:val="2"/>
                <w:sz w:val="21"/>
                <w:lang w:val="en-US" w:eastAsia="zh-CN"/>
              </w:rPr>
              <w:t>值</w:t>
            </w:r>
            <w:r>
              <w:rPr>
                <w:rFonts w:hint="eastAsia"/>
                <w:color w:val="auto"/>
                <w:spacing w:val="2"/>
                <w:sz w:val="21"/>
                <w:lang w:eastAsia="zh-CN"/>
              </w:rPr>
              <w:t>、化学需氧量</w:t>
            </w:r>
            <w:r>
              <w:rPr>
                <w:color w:val="auto"/>
                <w:spacing w:val="2"/>
                <w:sz w:val="21"/>
                <w:lang w:eastAsia="zh-CN"/>
              </w:rPr>
              <w:t>COD</w:t>
            </w:r>
            <w:r>
              <w:rPr>
                <w:rFonts w:hint="eastAsia"/>
                <w:color w:val="auto"/>
                <w:spacing w:val="2"/>
                <w:sz w:val="21"/>
                <w:lang w:eastAsia="zh-CN"/>
              </w:rPr>
              <w:t>、悬浮物</w:t>
            </w:r>
            <w:r>
              <w:rPr>
                <w:color w:val="auto"/>
                <w:spacing w:val="2"/>
                <w:sz w:val="21"/>
                <w:lang w:eastAsia="zh-CN"/>
              </w:rPr>
              <w:t>SS</w:t>
            </w:r>
            <w:r>
              <w:rPr>
                <w:rFonts w:hint="eastAsia"/>
                <w:color w:val="auto"/>
                <w:spacing w:val="2"/>
                <w:sz w:val="21"/>
                <w:lang w:eastAsia="zh-CN"/>
              </w:rPr>
              <w:t>、氨氮</w:t>
            </w:r>
            <w:r>
              <w:rPr>
                <w:color w:val="auto"/>
                <w:spacing w:val="2"/>
                <w:sz w:val="21"/>
                <w:lang w:eastAsia="zh-CN"/>
              </w:rPr>
              <w:t>NH3-N</w:t>
            </w:r>
            <w:r>
              <w:rPr>
                <w:rFonts w:hint="eastAsia"/>
                <w:color w:val="auto"/>
                <w:spacing w:val="2"/>
                <w:sz w:val="21"/>
                <w:lang w:eastAsia="zh-CN"/>
              </w:rPr>
              <w:t>、总磷</w:t>
            </w:r>
            <w:r>
              <w:rPr>
                <w:color w:val="auto"/>
                <w:spacing w:val="2"/>
                <w:sz w:val="21"/>
                <w:lang w:eastAsia="zh-CN"/>
              </w:rPr>
              <w:t>TP</w:t>
            </w:r>
            <w:r>
              <w:rPr>
                <w:rFonts w:hint="eastAsia"/>
                <w:color w:val="auto"/>
                <w:spacing w:val="2"/>
                <w:sz w:val="21"/>
                <w:lang w:eastAsia="zh-CN"/>
              </w:rPr>
              <w:t>、氟化物、总氮</w:t>
            </w:r>
          </w:p>
        </w:tc>
        <w:tc>
          <w:tcPr>
            <w:tcW w:w="2976" w:type="dxa"/>
            <w:vAlign w:val="center"/>
          </w:tcPr>
          <w:p w14:paraId="2751EE90">
            <w:pPr>
              <w:pStyle w:val="5"/>
              <w:spacing w:line="364" w:lineRule="auto"/>
              <w:ind w:right="18"/>
              <w:jc w:val="both"/>
              <w:rPr>
                <w:color w:val="auto"/>
                <w:spacing w:val="2"/>
                <w:sz w:val="21"/>
                <w:lang w:eastAsia="zh-CN"/>
              </w:rPr>
            </w:pPr>
            <w:r>
              <w:rPr>
                <w:rFonts w:hint="eastAsia"/>
                <w:color w:val="auto"/>
                <w:spacing w:val="2"/>
                <w:sz w:val="21"/>
                <w:lang w:eastAsia="zh-CN"/>
              </w:rPr>
              <w:t>主要采用厂内污水处理设施</w:t>
            </w:r>
            <w:r>
              <w:rPr>
                <w:rFonts w:hint="eastAsia"/>
                <w:color w:val="auto"/>
                <w:spacing w:val="2"/>
                <w:sz w:val="21"/>
                <w:lang w:val="en-US" w:eastAsia="zh-CN"/>
              </w:rPr>
              <w:t>除氟+调节+</w:t>
            </w:r>
            <w:r>
              <w:rPr>
                <w:color w:val="auto"/>
                <w:spacing w:val="2"/>
                <w:sz w:val="21"/>
                <w:lang w:eastAsia="zh-CN"/>
              </w:rPr>
              <w:t>絮凝沉淀后，接管至常熟新材料产业园污水处理厂</w:t>
            </w:r>
          </w:p>
        </w:tc>
      </w:tr>
      <w:tr w14:paraId="5849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06C088BD">
            <w:pPr>
              <w:pStyle w:val="5"/>
              <w:spacing w:line="364" w:lineRule="auto"/>
              <w:ind w:right="18"/>
              <w:jc w:val="both"/>
              <w:rPr>
                <w:color w:val="auto"/>
                <w:spacing w:val="2"/>
                <w:sz w:val="21"/>
                <w:lang w:eastAsia="zh-CN"/>
              </w:rPr>
            </w:pPr>
            <w:r>
              <w:rPr>
                <w:color w:val="auto"/>
                <w:spacing w:val="2"/>
                <w:sz w:val="21"/>
                <w:lang w:eastAsia="zh-CN"/>
              </w:rPr>
              <w:t>无害废弃物</w:t>
            </w:r>
          </w:p>
        </w:tc>
        <w:tc>
          <w:tcPr>
            <w:tcW w:w="4253" w:type="dxa"/>
            <w:vAlign w:val="center"/>
          </w:tcPr>
          <w:p w14:paraId="20D45054">
            <w:pPr>
              <w:pStyle w:val="5"/>
              <w:spacing w:line="364" w:lineRule="auto"/>
              <w:ind w:right="1572"/>
              <w:jc w:val="both"/>
              <w:rPr>
                <w:color w:val="auto"/>
                <w:spacing w:val="2"/>
                <w:sz w:val="21"/>
                <w:lang w:eastAsia="zh-CN"/>
              </w:rPr>
            </w:pPr>
            <w:r>
              <w:rPr>
                <w:rFonts w:hint="eastAsia"/>
                <w:color w:val="auto"/>
                <w:spacing w:val="2"/>
                <w:sz w:val="21"/>
                <w:lang w:eastAsia="zh-CN"/>
              </w:rPr>
              <w:t>生活垃圾</w:t>
            </w:r>
          </w:p>
        </w:tc>
        <w:tc>
          <w:tcPr>
            <w:tcW w:w="2976" w:type="dxa"/>
            <w:vAlign w:val="center"/>
          </w:tcPr>
          <w:p w14:paraId="3BF7F2F9">
            <w:pPr>
              <w:pStyle w:val="5"/>
              <w:spacing w:line="364" w:lineRule="auto"/>
              <w:ind w:right="18"/>
              <w:jc w:val="both"/>
              <w:rPr>
                <w:color w:val="auto"/>
                <w:spacing w:val="2"/>
                <w:sz w:val="21"/>
                <w:lang w:eastAsia="zh-CN"/>
              </w:rPr>
            </w:pPr>
            <w:r>
              <w:rPr>
                <w:rFonts w:hint="eastAsia"/>
                <w:color w:val="auto"/>
                <w:spacing w:val="2"/>
                <w:sz w:val="21"/>
                <w:lang w:eastAsia="zh-CN"/>
              </w:rPr>
              <w:t>外运处置，</w:t>
            </w:r>
            <w:r>
              <w:rPr>
                <w:color w:val="auto"/>
                <w:spacing w:val="2"/>
                <w:sz w:val="21"/>
                <w:lang w:eastAsia="zh-CN"/>
              </w:rPr>
              <w:t>回收公司定期回收综合利用</w:t>
            </w:r>
          </w:p>
        </w:tc>
      </w:tr>
      <w:tr w14:paraId="496D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746B6F65">
            <w:pPr>
              <w:pStyle w:val="5"/>
              <w:spacing w:line="364" w:lineRule="auto"/>
              <w:ind w:right="18"/>
              <w:jc w:val="both"/>
              <w:rPr>
                <w:color w:val="auto"/>
                <w:spacing w:val="2"/>
                <w:sz w:val="21"/>
                <w:lang w:eastAsia="zh-CN"/>
              </w:rPr>
            </w:pPr>
            <w:r>
              <w:rPr>
                <w:color w:val="auto"/>
                <w:spacing w:val="2"/>
                <w:sz w:val="21"/>
                <w:lang w:eastAsia="zh-CN"/>
              </w:rPr>
              <w:t>危险废弃物</w:t>
            </w:r>
          </w:p>
        </w:tc>
        <w:tc>
          <w:tcPr>
            <w:tcW w:w="4253" w:type="dxa"/>
            <w:vAlign w:val="center"/>
          </w:tcPr>
          <w:p w14:paraId="63FAFCE1">
            <w:pPr>
              <w:pStyle w:val="5"/>
              <w:spacing w:line="364" w:lineRule="auto"/>
              <w:ind w:right="18"/>
              <w:jc w:val="both"/>
              <w:rPr>
                <w:rFonts w:hint="default"/>
                <w:color w:val="auto"/>
                <w:spacing w:val="2"/>
                <w:sz w:val="21"/>
                <w:lang w:val="en-US" w:eastAsia="zh-CN"/>
              </w:rPr>
            </w:pPr>
            <w:r>
              <w:rPr>
                <w:rFonts w:hint="eastAsia"/>
                <w:color w:val="auto"/>
                <w:spacing w:val="2"/>
                <w:sz w:val="21"/>
                <w:lang w:val="en-US" w:eastAsia="zh-CN"/>
              </w:rPr>
              <w:t>废树脂，废活性炭，滤渣（HW34），废包装桶，废包装袋，废滤网，废滤芯滤布，废粉尘，废试剂瓶，废渣，废液，废矿物油、废导热油，精馏残液，废分子筛，冷凝废液，滤渣（HW11），实验室废液，废拖把，污泥</w:t>
            </w:r>
          </w:p>
        </w:tc>
        <w:tc>
          <w:tcPr>
            <w:tcW w:w="2976" w:type="dxa"/>
            <w:vAlign w:val="center"/>
          </w:tcPr>
          <w:p w14:paraId="3F1103CB">
            <w:pPr>
              <w:pStyle w:val="22"/>
              <w:ind w:right="18" w:firstLine="0" w:firstLineChars="0"/>
              <w:rPr>
                <w:rFonts w:ascii="宋体" w:hAnsi="宋体" w:eastAsia="宋体" w:cs="宋体"/>
                <w:bCs w:val="0"/>
                <w:color w:val="auto"/>
                <w:spacing w:val="2"/>
                <w:sz w:val="21"/>
              </w:rPr>
            </w:pPr>
            <w:r>
              <w:rPr>
                <w:rFonts w:ascii="宋体" w:hAnsi="宋体" w:eastAsia="宋体" w:cs="宋体"/>
                <w:bCs w:val="0"/>
                <w:color w:val="auto"/>
                <w:spacing w:val="2"/>
                <w:sz w:val="21"/>
              </w:rPr>
              <w:t>保存在仓库内，待储存一定数量后委托有资质的单位处理</w:t>
            </w:r>
            <w:r>
              <w:rPr>
                <w:rFonts w:hint="eastAsia" w:ascii="宋体" w:hAnsi="宋体" w:eastAsia="宋体" w:cs="宋体"/>
                <w:bCs w:val="0"/>
                <w:color w:val="auto"/>
                <w:spacing w:val="2"/>
                <w:sz w:val="21"/>
              </w:rPr>
              <w:t>。</w:t>
            </w:r>
          </w:p>
        </w:tc>
      </w:tr>
    </w:tbl>
    <w:p w14:paraId="36FFD7F7">
      <w:pPr>
        <w:pStyle w:val="5"/>
        <w:spacing w:before="130" w:line="364" w:lineRule="auto"/>
        <w:ind w:left="1560" w:leftChars="709" w:right="995" w:firstLine="480" w:firstLineChars="200"/>
        <w:jc w:val="both"/>
        <w:rPr>
          <w:color w:val="FF0000"/>
          <w:lang w:eastAsia="zh-CN"/>
        </w:rPr>
      </w:pPr>
    </w:p>
    <w:p w14:paraId="16A939D1">
      <w:pPr>
        <w:tabs>
          <w:tab w:val="center" w:pos="5609"/>
        </w:tabs>
        <w:rPr>
          <w:color w:val="FF0000"/>
          <w:lang w:eastAsia="zh-CN"/>
        </w:rPr>
      </w:pPr>
    </w:p>
    <w:p w14:paraId="44F59298">
      <w:pPr>
        <w:pStyle w:val="5"/>
        <w:spacing w:before="130" w:line="364" w:lineRule="auto"/>
        <w:ind w:left="1560" w:leftChars="709" w:right="995" w:firstLine="480" w:firstLineChars="200"/>
        <w:jc w:val="both"/>
        <w:rPr>
          <w:lang w:eastAsia="zh-CN"/>
        </w:rPr>
      </w:pPr>
    </w:p>
    <w:p w14:paraId="703906A2">
      <w:pPr>
        <w:pStyle w:val="5"/>
        <w:spacing w:before="130" w:line="364" w:lineRule="auto"/>
        <w:ind w:left="1560" w:leftChars="709" w:right="995" w:firstLine="480" w:firstLineChars="200"/>
        <w:jc w:val="both"/>
        <w:rPr>
          <w:lang w:eastAsia="zh-CN"/>
        </w:rPr>
      </w:pPr>
    </w:p>
    <w:p w14:paraId="7FF724F4">
      <w:pPr>
        <w:pStyle w:val="5"/>
        <w:spacing w:before="130" w:line="364" w:lineRule="auto"/>
        <w:ind w:left="1560" w:leftChars="709" w:right="995" w:firstLine="480" w:firstLineChars="200"/>
        <w:jc w:val="both"/>
        <w:rPr>
          <w:lang w:eastAsia="zh-CN"/>
        </w:rPr>
      </w:pPr>
    </w:p>
    <w:p w14:paraId="17B39EB2">
      <w:pPr>
        <w:pStyle w:val="5"/>
        <w:spacing w:before="130" w:line="364" w:lineRule="auto"/>
        <w:ind w:left="1560" w:leftChars="709" w:right="995" w:firstLine="480" w:firstLineChars="200"/>
        <w:jc w:val="both"/>
        <w:rPr>
          <w:lang w:eastAsia="zh-CN"/>
        </w:rPr>
      </w:pPr>
    </w:p>
    <w:p w14:paraId="2FBE9AD4">
      <w:pPr>
        <w:pStyle w:val="5"/>
        <w:spacing w:before="130" w:line="364" w:lineRule="auto"/>
        <w:ind w:left="1560" w:leftChars="709" w:right="995" w:firstLine="480" w:firstLineChars="200"/>
        <w:jc w:val="both"/>
        <w:rPr>
          <w:lang w:eastAsia="zh-CN"/>
        </w:rPr>
      </w:pPr>
    </w:p>
    <w:p w14:paraId="0C207D75">
      <w:pPr>
        <w:pStyle w:val="5"/>
        <w:spacing w:before="130" w:line="364" w:lineRule="auto"/>
        <w:ind w:left="1560" w:leftChars="709" w:right="995" w:firstLine="480" w:firstLineChars="200"/>
        <w:jc w:val="both"/>
        <w:rPr>
          <w:lang w:eastAsia="zh-CN"/>
        </w:rPr>
      </w:pPr>
    </w:p>
    <w:p w14:paraId="53A37FC9">
      <w:pPr>
        <w:pStyle w:val="5"/>
        <w:spacing w:before="130" w:line="364" w:lineRule="auto"/>
        <w:ind w:left="1560" w:leftChars="709" w:right="995" w:firstLine="480" w:firstLineChars="200"/>
        <w:jc w:val="both"/>
        <w:rPr>
          <w:lang w:eastAsia="zh-CN"/>
        </w:rPr>
      </w:pPr>
    </w:p>
    <w:p w14:paraId="46FF46B5">
      <w:pPr>
        <w:pStyle w:val="5"/>
        <w:spacing w:before="130" w:line="364" w:lineRule="auto"/>
        <w:ind w:left="1560" w:leftChars="709" w:right="995" w:firstLine="480" w:firstLineChars="200"/>
        <w:jc w:val="both"/>
        <w:rPr>
          <w:lang w:eastAsia="zh-CN"/>
        </w:rPr>
      </w:pPr>
    </w:p>
    <w:p w14:paraId="607FC8A8">
      <w:pPr>
        <w:pStyle w:val="5"/>
        <w:spacing w:before="130" w:line="364" w:lineRule="auto"/>
        <w:ind w:left="1560" w:leftChars="709" w:right="995" w:firstLine="480" w:firstLineChars="200"/>
        <w:jc w:val="both"/>
        <w:rPr>
          <w:lang w:eastAsia="zh-CN"/>
        </w:rPr>
      </w:pPr>
    </w:p>
    <w:p w14:paraId="549B301C">
      <w:pPr>
        <w:pStyle w:val="5"/>
        <w:spacing w:before="130" w:line="364" w:lineRule="auto"/>
        <w:ind w:left="1560" w:leftChars="709" w:right="995" w:firstLine="480" w:firstLineChars="200"/>
        <w:jc w:val="both"/>
        <w:rPr>
          <w:lang w:eastAsia="zh-CN"/>
        </w:rPr>
      </w:pPr>
      <w:r>
        <w:rPr>
          <w:lang w:eastAsia="zh-CN"/>
        </w:rPr>
        <w:t>在国家积极推动双碳目标实现的背景下，公司将气候承诺纳入公司使命，将碳减排纳入企业经营考虑范围，主动承担对自然、社会、人文环境的责任，推动社会不断前行、可持续发展。</w:t>
      </w:r>
    </w:p>
    <w:p w14:paraId="14E2CB25">
      <w:pPr>
        <w:pStyle w:val="5"/>
        <w:spacing w:before="130" w:line="364" w:lineRule="auto"/>
        <w:ind w:left="1560" w:leftChars="709" w:right="995" w:firstLine="480" w:firstLineChars="200"/>
        <w:jc w:val="both"/>
        <w:rPr>
          <w:lang w:eastAsia="zh-CN"/>
        </w:rPr>
      </w:pPr>
    </w:p>
    <w:p w14:paraId="7C85DBD9">
      <w:pPr>
        <w:pStyle w:val="5"/>
        <w:spacing w:before="130" w:line="364" w:lineRule="auto"/>
        <w:ind w:left="1560" w:leftChars="709" w:right="995" w:firstLine="480" w:firstLineChars="200"/>
        <w:jc w:val="both"/>
        <w:rPr>
          <w:lang w:eastAsia="zh-CN"/>
        </w:rPr>
      </w:pPr>
      <w:r>
        <w:rPr>
          <w:lang w:eastAsia="zh-CN"/>
        </w:rPr>
        <w:drawing>
          <wp:anchor distT="0" distB="0" distL="114300" distR="114300" simplePos="0" relativeHeight="251666432" behindDoc="0" locked="0" layoutInCell="1" allowOverlap="1">
            <wp:simplePos x="0" y="0"/>
            <wp:positionH relativeFrom="column">
              <wp:posOffset>921385</wp:posOffset>
            </wp:positionH>
            <wp:positionV relativeFrom="paragraph">
              <wp:posOffset>-65405</wp:posOffset>
            </wp:positionV>
            <wp:extent cx="5263515" cy="3209290"/>
            <wp:effectExtent l="0" t="0" r="6985" b="3810"/>
            <wp:wrapNone/>
            <wp:docPr id="1347684583" name="图片 1" descr="C:/Users/admin/Desktop/厂区图片.jpg厂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84583" name="图片 1" descr="C:/Users/admin/Desktop/厂区图片.jpg厂区图片"/>
                    <pic:cNvPicPr>
                      <a:picLocks noChangeAspect="1" noChangeArrowheads="1"/>
                    </pic:cNvPicPr>
                  </pic:nvPicPr>
                  <pic:blipFill>
                    <a:blip r:embed="rId16"/>
                    <a:srcRect t="5206" b="5206"/>
                    <a:stretch>
                      <a:fillRect/>
                    </a:stretch>
                  </pic:blipFill>
                  <pic:spPr>
                    <a:xfrm>
                      <a:off x="0" y="0"/>
                      <a:ext cx="5263515" cy="3219367"/>
                    </a:xfrm>
                    <a:prstGeom prst="rect">
                      <a:avLst/>
                    </a:prstGeom>
                    <a:noFill/>
                    <a:ln>
                      <a:noFill/>
                    </a:ln>
                  </pic:spPr>
                </pic:pic>
              </a:graphicData>
            </a:graphic>
          </wp:anchor>
        </w:drawing>
      </w:r>
    </w:p>
    <w:p w14:paraId="7A375F44">
      <w:pPr>
        <w:tabs>
          <w:tab w:val="center" w:pos="5609"/>
        </w:tabs>
        <w:rPr>
          <w:lang w:eastAsia="zh-CN"/>
        </w:rPr>
      </w:pPr>
    </w:p>
    <w:p w14:paraId="4EE65989">
      <w:pPr>
        <w:tabs>
          <w:tab w:val="center" w:pos="5609"/>
        </w:tabs>
        <w:rPr>
          <w:lang w:eastAsia="zh-CN"/>
        </w:rPr>
      </w:pPr>
    </w:p>
    <w:p w14:paraId="3BD62A9C">
      <w:pPr>
        <w:tabs>
          <w:tab w:val="center" w:pos="5609"/>
        </w:tabs>
        <w:rPr>
          <w:lang w:eastAsia="zh-CN"/>
        </w:rPr>
      </w:pPr>
    </w:p>
    <w:p w14:paraId="31702932">
      <w:pPr>
        <w:tabs>
          <w:tab w:val="center" w:pos="5609"/>
        </w:tabs>
        <w:rPr>
          <w:lang w:eastAsia="zh-CN"/>
        </w:rPr>
      </w:pPr>
    </w:p>
    <w:p w14:paraId="61052266">
      <w:pPr>
        <w:tabs>
          <w:tab w:val="center" w:pos="5609"/>
        </w:tabs>
        <w:rPr>
          <w:lang w:eastAsia="zh-CN"/>
        </w:rPr>
      </w:pPr>
    </w:p>
    <w:p w14:paraId="5594FABF">
      <w:pPr>
        <w:tabs>
          <w:tab w:val="center" w:pos="5609"/>
        </w:tabs>
        <w:rPr>
          <w:lang w:eastAsia="zh-CN"/>
        </w:rPr>
      </w:pPr>
    </w:p>
    <w:p w14:paraId="15DB2731">
      <w:pPr>
        <w:tabs>
          <w:tab w:val="center" w:pos="5609"/>
        </w:tabs>
        <w:rPr>
          <w:lang w:eastAsia="zh-CN"/>
        </w:rPr>
      </w:pPr>
    </w:p>
    <w:p w14:paraId="3B794F54">
      <w:pPr>
        <w:tabs>
          <w:tab w:val="center" w:pos="5609"/>
        </w:tabs>
        <w:rPr>
          <w:lang w:eastAsia="zh-CN"/>
        </w:rPr>
      </w:pPr>
    </w:p>
    <w:p w14:paraId="703EA497">
      <w:pPr>
        <w:tabs>
          <w:tab w:val="center" w:pos="5609"/>
        </w:tabs>
        <w:rPr>
          <w:lang w:eastAsia="zh-CN"/>
        </w:rPr>
      </w:pPr>
    </w:p>
    <w:p w14:paraId="41F84263">
      <w:pPr>
        <w:tabs>
          <w:tab w:val="center" w:pos="5609"/>
        </w:tabs>
        <w:rPr>
          <w:lang w:eastAsia="zh-CN"/>
        </w:rPr>
      </w:pPr>
    </w:p>
    <w:p w14:paraId="116660E9">
      <w:pPr>
        <w:tabs>
          <w:tab w:val="center" w:pos="5609"/>
        </w:tabs>
        <w:rPr>
          <w:lang w:eastAsia="zh-CN"/>
        </w:rPr>
      </w:pPr>
    </w:p>
    <w:p w14:paraId="2ABDD96C">
      <w:pPr>
        <w:tabs>
          <w:tab w:val="center" w:pos="5609"/>
        </w:tabs>
        <w:rPr>
          <w:lang w:eastAsia="zh-CN"/>
        </w:rPr>
      </w:pPr>
    </w:p>
    <w:p w14:paraId="34C50CDD">
      <w:pPr>
        <w:tabs>
          <w:tab w:val="center" w:pos="5609"/>
        </w:tabs>
        <w:rPr>
          <w:lang w:eastAsia="zh-CN"/>
        </w:rPr>
      </w:pPr>
    </w:p>
    <w:p w14:paraId="0EEB2B42">
      <w:pPr>
        <w:tabs>
          <w:tab w:val="center" w:pos="5609"/>
        </w:tabs>
        <w:rPr>
          <w:lang w:eastAsia="zh-CN"/>
        </w:rPr>
      </w:pPr>
    </w:p>
    <w:p w14:paraId="18F0E68D">
      <w:pPr>
        <w:tabs>
          <w:tab w:val="center" w:pos="5609"/>
        </w:tabs>
        <w:rPr>
          <w:lang w:eastAsia="zh-CN"/>
        </w:rPr>
      </w:pPr>
    </w:p>
    <w:p w14:paraId="58700949">
      <w:pPr>
        <w:tabs>
          <w:tab w:val="center" w:pos="5609"/>
        </w:tabs>
        <w:rPr>
          <w:lang w:eastAsia="zh-CN"/>
        </w:rPr>
      </w:pPr>
    </w:p>
    <w:p w14:paraId="02757665">
      <w:pPr>
        <w:tabs>
          <w:tab w:val="center" w:pos="5609"/>
        </w:tabs>
        <w:rPr>
          <w:lang w:eastAsia="zh-CN"/>
        </w:rPr>
      </w:pPr>
    </w:p>
    <w:p w14:paraId="036C069E">
      <w:pPr>
        <w:tabs>
          <w:tab w:val="center" w:pos="5609"/>
        </w:tabs>
        <w:rPr>
          <w:lang w:eastAsia="zh-CN"/>
        </w:rPr>
      </w:pPr>
    </w:p>
    <w:p w14:paraId="08FBA19E">
      <w:pPr>
        <w:pStyle w:val="5"/>
        <w:spacing w:before="130" w:line="364" w:lineRule="auto"/>
        <w:ind w:left="1560" w:leftChars="709" w:right="995" w:firstLine="480" w:firstLineChars="200"/>
        <w:jc w:val="both"/>
        <w:rPr>
          <w:lang w:eastAsia="zh-CN"/>
        </w:rPr>
      </w:pPr>
      <w:r>
        <w:rPr>
          <w:lang w:eastAsia="zh-CN"/>
        </w:rPr>
        <w:t>公司</w:t>
      </w:r>
      <w:r>
        <w:rPr>
          <w:rFonts w:hint="eastAsia"/>
          <w:lang w:eastAsia="zh-CN"/>
        </w:rPr>
        <w:t>积极导入屋顶分布式光伏电站</w:t>
      </w:r>
      <w:r>
        <w:rPr>
          <w:lang w:eastAsia="zh-CN"/>
        </w:rPr>
        <w:t>的</w:t>
      </w:r>
      <w:r>
        <w:rPr>
          <w:rFonts w:hint="eastAsia"/>
          <w:lang w:eastAsia="zh-CN"/>
        </w:rPr>
        <w:t>安装使用</w:t>
      </w:r>
      <w:r>
        <w:rPr>
          <w:lang w:eastAsia="zh-CN"/>
        </w:rPr>
        <w:t>，持续进行绿色</w:t>
      </w:r>
      <w:r>
        <w:rPr>
          <w:rFonts w:hint="eastAsia"/>
          <w:lang w:eastAsia="zh-CN"/>
        </w:rPr>
        <w:t>生产工艺研发</w:t>
      </w:r>
      <w:r>
        <w:rPr>
          <w:lang w:eastAsia="zh-CN"/>
        </w:rPr>
        <w:t>；</w:t>
      </w:r>
      <w:r>
        <w:rPr>
          <w:rFonts w:hint="eastAsia"/>
          <w:lang w:eastAsia="zh-CN"/>
        </w:rPr>
        <w:t>公司积极导入能源管理体系，参与创建绿色工厂等。</w:t>
      </w:r>
    </w:p>
    <w:p w14:paraId="247712C5">
      <w:pPr>
        <w:pStyle w:val="5"/>
        <w:spacing w:before="130" w:line="364" w:lineRule="auto"/>
        <w:ind w:left="1560" w:leftChars="709" w:right="995" w:firstLine="480" w:firstLineChars="200"/>
        <w:jc w:val="both"/>
        <w:rPr>
          <w:color w:val="auto"/>
          <w:lang w:eastAsia="zh-CN"/>
        </w:rPr>
      </w:pPr>
      <w:r>
        <w:rPr>
          <w:color w:val="auto"/>
          <w:lang w:eastAsia="zh-CN"/>
        </w:rPr>
        <w:t xml:space="preserve">截止 </w:t>
      </w:r>
      <w:r>
        <w:rPr>
          <w:rFonts w:hint="eastAsia"/>
          <w:color w:val="auto"/>
          <w:lang w:eastAsia="zh-CN"/>
        </w:rPr>
        <w:t>2023</w:t>
      </w:r>
      <w:r>
        <w:rPr>
          <w:color w:val="auto"/>
          <w:lang w:eastAsia="zh-CN"/>
        </w:rPr>
        <w:t xml:space="preserve"> 年底，经过科研人员的不懈研发和技术创新，公司已拥有授权专利</w:t>
      </w:r>
      <w:r>
        <w:rPr>
          <w:rFonts w:hint="eastAsia"/>
          <w:color w:val="auto"/>
          <w:lang w:val="en-US" w:eastAsia="zh-CN"/>
        </w:rPr>
        <w:t>17</w:t>
      </w:r>
      <w:r>
        <w:rPr>
          <w:color w:val="auto"/>
          <w:lang w:eastAsia="zh-CN"/>
        </w:rPr>
        <w:t>项，其中发明专利达</w:t>
      </w:r>
      <w:r>
        <w:rPr>
          <w:rFonts w:hint="eastAsia"/>
          <w:color w:val="auto"/>
          <w:lang w:val="en-US" w:eastAsia="zh-CN"/>
        </w:rPr>
        <w:t>14</w:t>
      </w:r>
      <w:r>
        <w:rPr>
          <w:color w:val="auto"/>
          <w:lang w:eastAsia="zh-CN"/>
        </w:rPr>
        <w:t>项</w:t>
      </w:r>
      <w:r>
        <w:rPr>
          <w:rFonts w:hint="eastAsia"/>
          <w:color w:val="auto"/>
          <w:lang w:eastAsia="zh-CN"/>
        </w:rPr>
        <w:t>，均已实现成果转化。</w:t>
      </w:r>
    </w:p>
    <w:p w14:paraId="7BBD72AB">
      <w:pPr>
        <w:pStyle w:val="5"/>
        <w:spacing w:before="130" w:line="364" w:lineRule="auto"/>
        <w:ind w:left="1560" w:leftChars="709" w:right="995" w:firstLine="480" w:firstLineChars="200"/>
        <w:jc w:val="both"/>
        <w:rPr>
          <w:lang w:eastAsia="zh-CN"/>
        </w:rPr>
        <w:sectPr>
          <w:headerReference r:id="rId9" w:type="default"/>
          <w:footerReference r:id="rId11" w:type="default"/>
          <w:headerReference r:id="rId10" w:type="even"/>
          <w:footerReference r:id="rId12" w:type="even"/>
          <w:pgSz w:w="11910" w:h="16840"/>
          <w:pgMar w:top="1418" w:right="454" w:bottom="1582" w:left="238" w:header="283" w:footer="454" w:gutter="0"/>
          <w:cols w:space="720" w:num="1"/>
          <w:docGrid w:linePitch="299" w:charSpace="0"/>
        </w:sectPr>
      </w:pPr>
      <w:r>
        <w:rPr>
          <w:lang w:eastAsia="zh-CN"/>
        </w:rPr>
        <w:t>未来公司将持续推动节约资源、降低能耗和减少排放等工作常态化，通过技术研发与创新推动公司产业结构调整和优化升级，提升企业综合竞争力的同时，促进公司可持续发展，实现经济、环境和社会效益同步发展</w:t>
      </w:r>
      <w:r>
        <w:rPr>
          <w:rFonts w:hint="eastAsia"/>
          <w:lang w:eastAsia="zh-CN"/>
        </w:rPr>
        <w:t>。</w:t>
      </w:r>
    </w:p>
    <w:p w14:paraId="4E8F9E95">
      <w:pPr>
        <w:rPr>
          <w:lang w:eastAsia="zh-CN"/>
        </w:rPr>
      </w:pPr>
    </w:p>
    <w:p w14:paraId="439D637C">
      <w:pPr>
        <w:pStyle w:val="2"/>
        <w:keepNext w:val="0"/>
        <w:keepLines w:val="0"/>
        <w:numPr>
          <w:ilvl w:val="0"/>
          <w:numId w:val="1"/>
        </w:numPr>
        <w:tabs>
          <w:tab w:val="left" w:pos="2410"/>
        </w:tabs>
        <w:spacing w:before="47" w:after="0" w:line="240" w:lineRule="auto"/>
        <w:ind w:left="0" w:firstLine="1561" w:firstLineChars="520"/>
        <w:rPr>
          <w:rFonts w:ascii="Microsoft YaHei UI" w:hAnsi="Microsoft YaHei UI" w:eastAsia="Microsoft YaHei UI" w:cs="Microsoft YaHei UI"/>
          <w:kern w:val="0"/>
          <w:sz w:val="30"/>
          <w:szCs w:val="30"/>
          <w:lang w:eastAsia="zh-CN"/>
        </w:rPr>
      </w:pPr>
      <w:bookmarkStart w:id="34" w:name="_Toc151985189"/>
      <w:bookmarkStart w:id="35" w:name="_Toc152057907"/>
      <w:r>
        <w:rPr>
          <w:rFonts w:ascii="Microsoft YaHei UI" w:hAnsi="Microsoft YaHei UI" w:eastAsia="Microsoft YaHei UI" w:cs="Microsoft YaHei UI"/>
          <w:kern w:val="0"/>
          <w:sz w:val="30"/>
          <w:szCs w:val="30"/>
          <w:lang w:eastAsia="zh-CN"/>
        </w:rPr>
        <w:t>员工关爱</w:t>
      </w:r>
      <w:bookmarkEnd w:id="34"/>
      <w:bookmarkEnd w:id="35"/>
    </w:p>
    <w:p w14:paraId="07FE5854">
      <w:pPr>
        <w:pStyle w:val="3"/>
        <w:tabs>
          <w:tab w:val="left" w:pos="2069"/>
        </w:tabs>
        <w:spacing w:before="425"/>
        <w:ind w:firstLine="1601" w:firstLineChars="500"/>
        <w:rPr>
          <w:rFonts w:ascii="Microsoft YaHei UI" w:hAnsi="Microsoft YaHei UI" w:eastAsia="Microsoft YaHei UI"/>
          <w:color w:val="0000CC"/>
          <w:lang w:eastAsia="zh-CN"/>
        </w:rPr>
      </w:pPr>
      <w:bookmarkStart w:id="36" w:name="4.1员工权益和福利"/>
      <w:bookmarkEnd w:id="36"/>
      <w:bookmarkStart w:id="37" w:name="_bookmark13"/>
      <w:bookmarkEnd w:id="37"/>
      <w:bookmarkStart w:id="38" w:name="_Toc152057908"/>
      <w:bookmarkStart w:id="39" w:name="_Toc151985190"/>
      <w:r>
        <w:rPr>
          <w:rFonts w:hint="eastAsia" w:ascii="Microsoft YaHei UI" w:hAnsi="Microsoft YaHei UI" w:eastAsia="Microsoft YaHei UI"/>
          <w:color w:val="0000CC"/>
          <w:lang w:eastAsia="zh-CN"/>
        </w:rPr>
        <w:t>4</w:t>
      </w:r>
      <w:r>
        <w:rPr>
          <w:rFonts w:ascii="Microsoft YaHei UI" w:hAnsi="Microsoft YaHei UI" w:eastAsia="Microsoft YaHei UI"/>
          <w:color w:val="0000CC"/>
          <w:lang w:eastAsia="zh-CN"/>
        </w:rPr>
        <w:t>.1员工权益和福利</w:t>
      </w:r>
      <w:bookmarkEnd w:id="38"/>
      <w:bookmarkEnd w:id="39"/>
    </w:p>
    <w:p w14:paraId="3797EA7F">
      <w:pPr>
        <w:pStyle w:val="4"/>
        <w:ind w:left="993" w:firstLine="1327" w:firstLineChars="413"/>
        <w:rPr>
          <w:lang w:eastAsia="zh-CN"/>
        </w:rPr>
      </w:pPr>
      <w:r>
        <w:rPr>
          <w:lang w:eastAsia="zh-CN"/>
        </w:rPr>
        <w:t>基本权益</w:t>
      </w:r>
    </w:p>
    <w:p w14:paraId="5A0BE03A">
      <w:pPr>
        <w:pStyle w:val="5"/>
        <w:spacing w:before="130" w:line="364" w:lineRule="auto"/>
        <w:ind w:left="1560" w:leftChars="709" w:right="995" w:firstLine="480" w:firstLineChars="200"/>
        <w:jc w:val="both"/>
        <w:rPr>
          <w:lang w:eastAsia="zh-CN"/>
        </w:rPr>
      </w:pPr>
      <w:r>
        <w:rPr>
          <w:lang w:eastAsia="zh-CN"/>
        </w:rPr>
        <w:t>公司严格执行国家和地方的政策法规，维护员工合法权益，切实保障员工人权和体面劳动等各项基本权利，努力构建和谐融洽的员工关系。公司按照国家有关规定对女员工实行特殊劳动保护，严格贯彻</w:t>
      </w:r>
      <w:r>
        <w:rPr>
          <w:rFonts w:hint="eastAsia"/>
          <w:lang w:eastAsia="zh-CN"/>
        </w:rPr>
        <w:t>法规</w:t>
      </w:r>
      <w:r>
        <w:rPr>
          <w:lang w:eastAsia="zh-CN"/>
        </w:rPr>
        <w:t>要求，禁止对职工进行体罚、精神或肉体胁迫、言语侮辱及其他任何形式的虐待，不存在非法强迫职工进行劳动的情形。</w:t>
      </w:r>
    </w:p>
    <w:p w14:paraId="14A605F6">
      <w:pPr>
        <w:pStyle w:val="5"/>
        <w:spacing w:before="130" w:line="364" w:lineRule="auto"/>
        <w:ind w:left="1560" w:leftChars="709" w:right="995" w:firstLine="480" w:firstLineChars="200"/>
        <w:jc w:val="both"/>
        <w:rPr>
          <w:lang w:eastAsia="zh-CN"/>
        </w:rPr>
      </w:pPr>
      <w:r>
        <w:rPr>
          <w:lang w:eastAsia="zh-CN"/>
        </w:rPr>
        <w:t>公司遵循按劳分配、同工同酬的原则，不克扣或者无故拖欠劳动者的工资，尊重员工人权，确保体面劳动。公司平等雇佣，反对任何形式的歧视，在员工聘用、薪酬分配、职位提升、解聘和退休等问题上，没有在种族、社会等级、国籍、宗教、身体残疾、性别、性取向、工会会员、</w:t>
      </w:r>
      <w:r>
        <w:rPr>
          <w:rFonts w:hint="eastAsia"/>
          <w:lang w:eastAsia="zh-CN"/>
        </w:rPr>
        <w:t>政治归属或年龄等方面设定歧视性规定，日常工作中亦不存在任何歧视行为。</w:t>
      </w:r>
    </w:p>
    <w:p w14:paraId="3E069CD5">
      <w:pPr>
        <w:pStyle w:val="5"/>
        <w:spacing w:before="130" w:line="364" w:lineRule="auto"/>
        <w:ind w:left="1560" w:leftChars="709" w:right="995" w:firstLine="480" w:firstLineChars="200"/>
        <w:jc w:val="both"/>
        <w:rPr>
          <w:lang w:eastAsia="zh-CN"/>
        </w:rPr>
      </w:pPr>
      <w:r>
        <w:rPr>
          <w:lang w:eastAsia="zh-CN"/>
        </w:rPr>
        <w:t>公司以岗位价值为基础确定员工薪酬标准，并且坚持绩效导向，在同工同酬的基础上，给予绩优员工更高的劳动回报；通过合理的薪酬和激励机制，为员工提供良好的工作环境和发展晋升机会，保障员工合法权益。为保障员工基本福利，除法定性福利外，公司还设有</w:t>
      </w:r>
      <w:r>
        <w:rPr>
          <w:rFonts w:hint="eastAsia"/>
          <w:lang w:eastAsia="zh-CN"/>
        </w:rPr>
        <w:t>年资</w:t>
      </w:r>
      <w:r>
        <w:rPr>
          <w:lang w:eastAsia="zh-CN"/>
        </w:rPr>
        <w:t>津贴、</w:t>
      </w:r>
      <w:r>
        <w:rPr>
          <w:rFonts w:hint="eastAsia"/>
          <w:lang w:eastAsia="zh-CN"/>
        </w:rPr>
        <w:t>生日津贴</w:t>
      </w:r>
      <w:r>
        <w:rPr>
          <w:lang w:eastAsia="zh-CN"/>
        </w:rPr>
        <w:t>、</w:t>
      </w:r>
      <w:r>
        <w:rPr>
          <w:rFonts w:hint="eastAsia"/>
          <w:lang w:eastAsia="zh-CN"/>
        </w:rPr>
        <w:t>夜班</w:t>
      </w:r>
      <w:r>
        <w:rPr>
          <w:lang w:eastAsia="zh-CN"/>
        </w:rPr>
        <w:t>补贴等福利，充分调动员工的积极性和创造性。</w:t>
      </w:r>
    </w:p>
    <w:p w14:paraId="5394B0B2">
      <w:pPr>
        <w:pStyle w:val="3"/>
        <w:tabs>
          <w:tab w:val="left" w:pos="2069"/>
        </w:tabs>
        <w:spacing w:before="425"/>
        <w:ind w:firstLine="1601" w:firstLineChars="500"/>
        <w:rPr>
          <w:rFonts w:ascii="Microsoft YaHei UI" w:hAnsi="Microsoft YaHei UI" w:eastAsia="Microsoft YaHei UI"/>
          <w:color w:val="0000CC"/>
          <w:lang w:eastAsia="zh-CN"/>
        </w:rPr>
      </w:pPr>
      <w:bookmarkStart w:id="40" w:name="_Toc151985191"/>
      <w:bookmarkStart w:id="41" w:name="_Toc152057909"/>
      <w:r>
        <w:rPr>
          <w:rFonts w:hint="eastAsia" w:ascii="Microsoft YaHei UI" w:hAnsi="Microsoft YaHei UI" w:eastAsia="Microsoft YaHei UI"/>
          <w:color w:val="0000CC"/>
          <w:lang w:eastAsia="zh-CN"/>
        </w:rPr>
        <w:t>4</w:t>
      </w:r>
      <w:r>
        <w:rPr>
          <w:rFonts w:ascii="Microsoft YaHei UI" w:hAnsi="Microsoft YaHei UI" w:eastAsia="Microsoft YaHei UI"/>
          <w:color w:val="0000CC"/>
          <w:lang w:eastAsia="zh-CN"/>
        </w:rPr>
        <w:t>.2员工职业健康与安全</w:t>
      </w:r>
      <w:bookmarkEnd w:id="40"/>
      <w:bookmarkEnd w:id="41"/>
    </w:p>
    <w:p w14:paraId="0A4B79F4">
      <w:pPr>
        <w:pStyle w:val="5"/>
        <w:spacing w:before="130" w:line="364" w:lineRule="auto"/>
        <w:ind w:left="1560" w:leftChars="709" w:right="995" w:firstLine="480" w:firstLineChars="200"/>
        <w:jc w:val="both"/>
        <w:rPr>
          <w:lang w:eastAsia="zh-CN"/>
        </w:rPr>
      </w:pPr>
      <w:r>
        <w:rPr>
          <w:lang w:eastAsia="zh-CN"/>
        </w:rPr>
        <w:t>公司严格执行国家劳动安全卫生规程和标准，对职工进行安全生产、职业健康和安全教育，为员工提供健康、安全的工作环境和生活环境，最大限度地防止劳动过程中的事故，减少职业危害。</w:t>
      </w:r>
    </w:p>
    <w:p w14:paraId="044B7F59">
      <w:pPr>
        <w:pStyle w:val="4"/>
        <w:ind w:left="993" w:firstLine="1327" w:firstLineChars="413"/>
        <w:rPr>
          <w:lang w:eastAsia="zh-CN"/>
        </w:rPr>
      </w:pPr>
      <w:r>
        <w:rPr>
          <w:rFonts w:hint="eastAsia"/>
          <w:lang w:eastAsia="zh-CN"/>
        </w:rPr>
        <w:t>职业健康</w:t>
      </w:r>
    </w:p>
    <w:p w14:paraId="5F611D4C">
      <w:pPr>
        <w:pStyle w:val="5"/>
        <w:spacing w:before="130" w:line="364" w:lineRule="auto"/>
        <w:ind w:left="1560" w:leftChars="709" w:right="995" w:firstLine="480" w:firstLineChars="200"/>
        <w:jc w:val="both"/>
        <w:rPr>
          <w:lang w:eastAsia="zh-CN"/>
        </w:rPr>
      </w:pPr>
      <w:r>
        <w:rPr>
          <w:lang w:eastAsia="zh-CN"/>
        </w:rPr>
        <w:t>公司制定了《职业健康管理制度》，同时还在产生职业危害岗位设置醒目的职业危害告知卡，规范人员作业行为；对接触到职业病危害因素人员进行岗前告知、制度告知、检测结果告知、体检结果告知；定期开展职业卫生培训，提高员工职业卫生防护意识。公司每年都委托具有资质的职业卫生技术服务机构对生产作业环境的职业病危害因素进行检测并及时公示检测结果，每三年委托具有资质的职业卫生技术服务机构进行评估，确保卫生安全生产，从而有效的防治职业病。</w:t>
      </w:r>
    </w:p>
    <w:p w14:paraId="2BADCDA5">
      <w:pPr>
        <w:pStyle w:val="5"/>
        <w:spacing w:before="130" w:line="364" w:lineRule="auto"/>
        <w:ind w:left="1560" w:leftChars="709" w:right="995" w:firstLine="480" w:firstLineChars="200"/>
        <w:jc w:val="both"/>
        <w:rPr>
          <w:lang w:eastAsia="zh-CN"/>
        </w:rPr>
      </w:pPr>
      <w:r>
        <w:rPr>
          <w:rFonts w:hint="eastAsia"/>
          <w:lang w:eastAsia="zh-CN"/>
        </w:rPr>
        <w:t>2023</w:t>
      </w:r>
      <w:r>
        <w:rPr>
          <w:lang w:eastAsia="zh-CN"/>
        </w:rPr>
        <w:t>年，公司现场定期职业病危害因素检测率、检测结果有效告知率为100%；全体员工体检有效执行率、体检结果有效告知率为100%； 重点岗位个人卫生防护用品配备率100%；项目负责人、职业卫生管理人员、接触危险因素员工培训率100%。</w:t>
      </w:r>
    </w:p>
    <w:p w14:paraId="51DC0C24">
      <w:pPr>
        <w:pStyle w:val="4"/>
        <w:ind w:left="993" w:right="-266" w:rightChars="-121" w:firstLine="1418" w:firstLineChars="413"/>
        <w:rPr>
          <w:lang w:eastAsia="zh-CN"/>
        </w:rPr>
      </w:pPr>
      <w:r>
        <w:rPr>
          <w:spacing w:val="11"/>
          <w:lang w:eastAsia="zh-CN"/>
        </w:rPr>
        <w:drawing>
          <wp:anchor distT="0" distB="0" distL="114300" distR="114300" simplePos="0" relativeHeight="251664384" behindDoc="0" locked="0" layoutInCell="1" allowOverlap="1">
            <wp:simplePos x="0" y="0"/>
            <wp:positionH relativeFrom="column">
              <wp:posOffset>188595</wp:posOffset>
            </wp:positionH>
            <wp:positionV relativeFrom="paragraph">
              <wp:posOffset>556260</wp:posOffset>
            </wp:positionV>
            <wp:extent cx="2659380" cy="3846195"/>
            <wp:effectExtent l="0" t="0" r="7620" b="1905"/>
            <wp:wrapNone/>
            <wp:docPr id="1465666230" name="图片 5" descr="C:/Users/admin/Desktop/安全演练图.jpg安全演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66230" name="图片 5" descr="C:/Users/admin/Desktop/安全演练图.jpg安全演练图"/>
                    <pic:cNvPicPr>
                      <a:picLocks noChangeAspect="1" noChangeArrowheads="1"/>
                    </pic:cNvPicPr>
                  </pic:nvPicPr>
                  <pic:blipFill>
                    <a:blip r:embed="rId17"/>
                    <a:srcRect l="24069" r="24069"/>
                    <a:stretch>
                      <a:fillRect/>
                    </a:stretch>
                  </pic:blipFill>
                  <pic:spPr>
                    <a:xfrm>
                      <a:off x="0" y="0"/>
                      <a:ext cx="2659380" cy="3846195"/>
                    </a:xfrm>
                    <a:prstGeom prst="rect">
                      <a:avLst/>
                    </a:prstGeom>
                    <a:noFill/>
                    <a:ln>
                      <a:noFill/>
                    </a:ln>
                  </pic:spPr>
                </pic:pic>
              </a:graphicData>
            </a:graphic>
          </wp:anchor>
        </w:drawing>
      </w:r>
      <w:r>
        <w:rPr>
          <w:rFonts w:hint="eastAsia"/>
          <w:lang w:eastAsia="zh-CN"/>
        </w:rPr>
        <w:t>安全生产</w:t>
      </w:r>
    </w:p>
    <w:p w14:paraId="01CAB2C0">
      <w:pPr>
        <w:pStyle w:val="5"/>
        <w:spacing w:line="364" w:lineRule="auto"/>
        <w:ind w:left="4536" w:right="866" w:firstLine="524" w:firstLineChars="200"/>
        <w:rPr>
          <w:spacing w:val="11"/>
          <w:lang w:eastAsia="zh-CN"/>
        </w:rPr>
      </w:pPr>
      <w:r>
        <w:rPr>
          <w:spacing w:val="11"/>
          <w:lang w:eastAsia="zh-CN"/>
        </w:rPr>
        <w:t>公司遵守国家安全法律法规与行业标准，通过制定</w:t>
      </w:r>
      <w:r>
        <w:rPr>
          <w:rFonts w:hint="eastAsia"/>
          <w:spacing w:val="11"/>
          <w:lang w:eastAsia="zh-CN"/>
        </w:rPr>
        <w:t>安全生产责任制度</w:t>
      </w:r>
      <w:r>
        <w:rPr>
          <w:spacing w:val="11"/>
          <w:lang w:eastAsia="zh-CN"/>
        </w:rPr>
        <w:t>，建立起安全可靠的生产环境和生产流程，以“安全第一，预防为主，综合治理”为总方针，遵循统一领导、统一指挥、紧急处置、快速反应、分级负责、协调一致的原则，坚持做到作业过程中一旦出现重大安全事故及重点安全风险，能够迅速、快捷、有效的启动应急救援系统。公司不仅建立产品质量安全保障机制与产</w:t>
      </w:r>
      <w:r>
        <w:rPr>
          <w:rFonts w:hint="eastAsia"/>
          <w:spacing w:val="11"/>
          <w:lang w:eastAsia="zh-CN"/>
        </w:rPr>
        <w:t>品安全事故应急方案，还积极强化日常安全监督检查及现场管理，落实各级安全责任，查堵各种事故隐患，降低事故的后果，减少人员伤亡、财产损失和环境破坏。</w:t>
      </w:r>
    </w:p>
    <w:p w14:paraId="38D23FB2">
      <w:pPr>
        <w:pStyle w:val="5"/>
        <w:spacing w:before="130" w:line="364" w:lineRule="auto"/>
        <w:ind w:left="1560" w:leftChars="709" w:right="995" w:firstLine="480" w:firstLineChars="200"/>
        <w:jc w:val="both"/>
        <w:rPr>
          <w:lang w:eastAsia="zh-CN"/>
        </w:rPr>
      </w:pPr>
      <w:r>
        <w:rPr>
          <w:lang w:eastAsia="zh-CN"/>
        </w:rPr>
        <w:t>公司各级领导、员工牢固树立安全理念，大力宣传安全生产方针政策，营造公司良好的安全文化氛围；公司定期组织相关人员学习《生产安全事故应急预案管理办法》《安全生产条例》《特种设备安全法》等法律法规；定期召开安全工作会议，组织宣贯各级监管部门的安全工作要求，发布公司安全生产信息，加强内外部工作沟通协调，掌握当前安全生产工作重点。</w:t>
      </w:r>
    </w:p>
    <w:p w14:paraId="74E2684D">
      <w:pPr>
        <w:pStyle w:val="5"/>
        <w:spacing w:before="130" w:line="364" w:lineRule="auto"/>
        <w:ind w:left="1560" w:leftChars="709" w:right="995" w:firstLine="480" w:firstLineChars="200"/>
        <w:jc w:val="both"/>
        <w:rPr>
          <w:lang w:eastAsia="zh-CN"/>
        </w:rPr>
      </w:pPr>
      <w:r>
        <w:rPr>
          <w:lang w:eastAsia="zh-CN"/>
        </w:rPr>
        <w:t>公司每年都组织开展“安全生产月”</w:t>
      </w:r>
      <w:r>
        <w:rPr>
          <w:rFonts w:hint="eastAsia"/>
          <w:lang w:eastAsia="zh-CN"/>
        </w:rPr>
        <w:t>、“危险预知演练”</w:t>
      </w:r>
      <w:r>
        <w:rPr>
          <w:lang w:eastAsia="zh-CN"/>
        </w:rPr>
        <w:t>等活动，通过宣传栏、电子大屏、网上安全课堂学习、张贴宣传横幅、</w:t>
      </w:r>
      <w:r>
        <w:rPr>
          <w:rFonts w:hint="eastAsia"/>
          <w:lang w:eastAsia="zh-CN"/>
        </w:rPr>
        <w:t>全员</w:t>
      </w:r>
      <w:r>
        <w:rPr>
          <w:lang w:eastAsia="zh-CN"/>
        </w:rPr>
        <w:t>签名、观看安全警示教育片、消防应急演练等多种形式大力宣传安全生产法律法规，唱响安全生产主旋律， 力争达到安全宣传以月促年、以年促安的良好效果。</w:t>
      </w:r>
    </w:p>
    <w:p w14:paraId="3D36A43D">
      <w:pPr>
        <w:pStyle w:val="3"/>
        <w:tabs>
          <w:tab w:val="left" w:pos="2069"/>
        </w:tabs>
        <w:spacing w:before="425"/>
        <w:ind w:firstLine="1601" w:firstLineChars="500"/>
        <w:rPr>
          <w:rFonts w:ascii="Microsoft YaHei UI" w:hAnsi="Microsoft YaHei UI" w:eastAsia="Microsoft YaHei UI"/>
          <w:color w:val="0000CC"/>
          <w:lang w:eastAsia="zh-CN"/>
        </w:rPr>
      </w:pPr>
      <w:bookmarkStart w:id="42" w:name="_Toc152057910"/>
      <w:bookmarkStart w:id="43" w:name="_Toc151985192"/>
      <w:r>
        <w:rPr>
          <w:rFonts w:hint="eastAsia" w:ascii="Microsoft YaHei UI" w:hAnsi="Microsoft YaHei UI" w:eastAsia="Microsoft YaHei UI"/>
          <w:color w:val="0000CC"/>
          <w:lang w:eastAsia="zh-CN"/>
        </w:rPr>
        <w:t>4</w:t>
      </w:r>
      <w:r>
        <w:rPr>
          <w:rFonts w:ascii="Microsoft YaHei UI" w:hAnsi="Microsoft YaHei UI" w:eastAsia="Microsoft YaHei UI"/>
          <w:color w:val="0000CC"/>
          <w:lang w:eastAsia="zh-CN"/>
        </w:rPr>
        <w:t>.3员工培训与发展</w:t>
      </w:r>
      <w:bookmarkEnd w:id="42"/>
      <w:bookmarkEnd w:id="43"/>
    </w:p>
    <w:p w14:paraId="700902E8">
      <w:pPr>
        <w:pStyle w:val="5"/>
        <w:spacing w:before="130" w:line="364" w:lineRule="auto"/>
        <w:ind w:left="1560" w:leftChars="709" w:right="995" w:firstLine="480" w:firstLineChars="200"/>
        <w:jc w:val="both"/>
        <w:rPr>
          <w:lang w:eastAsia="zh-CN"/>
        </w:rPr>
      </w:pPr>
      <w:r>
        <w:rPr>
          <w:lang w:eastAsia="zh-CN"/>
        </w:rPr>
        <mc:AlternateContent>
          <mc:Choice Requires="wps">
            <w:drawing>
              <wp:anchor distT="0" distB="0" distL="114300" distR="114300" simplePos="0" relativeHeight="251665408" behindDoc="0" locked="0" layoutInCell="1" allowOverlap="1">
                <wp:simplePos x="0" y="0"/>
                <wp:positionH relativeFrom="column">
                  <wp:posOffset>963295</wp:posOffset>
                </wp:positionH>
                <wp:positionV relativeFrom="paragraph">
                  <wp:posOffset>1483995</wp:posOffset>
                </wp:positionV>
                <wp:extent cx="3000375" cy="2743200"/>
                <wp:effectExtent l="0" t="0" r="28575" b="19050"/>
                <wp:wrapNone/>
                <wp:docPr id="64" name="文本框 64"/>
                <wp:cNvGraphicFramePr/>
                <a:graphic xmlns:a="http://schemas.openxmlformats.org/drawingml/2006/main">
                  <a:graphicData uri="http://schemas.microsoft.com/office/word/2010/wordprocessingShape">
                    <wps:wsp>
                      <wps:cNvSpPr txBox="1"/>
                      <wps:spPr>
                        <a:xfrm>
                          <a:off x="0" y="0"/>
                          <a:ext cx="3000375"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B5C27B">
                            <w:pPr>
                              <w:jc w:val="center"/>
                              <w:rPr>
                                <w:lang w:eastAsia="zh-CN"/>
                              </w:rPr>
                            </w:pPr>
                            <w:bookmarkStart w:id="60" w:name="_Hlk150938373"/>
                            <w:bookmarkEnd w:id="60"/>
                            <w:r>
                              <w:rPr>
                                <w:rFonts w:hint="eastAsia"/>
                                <w:highlight w:val="yellow"/>
                                <w:lang w:eastAsia="zh-CN"/>
                              </w:rPr>
                              <w:t>IATF体系</w:t>
                            </w:r>
                            <w:r>
                              <w:rPr>
                                <w:lang w:eastAsia="zh-CN"/>
                              </w:rPr>
                              <w:drawing>
                                <wp:inline distT="0" distB="0" distL="0" distR="0">
                                  <wp:extent cx="2857500" cy="2418715"/>
                                  <wp:effectExtent l="0" t="0" r="0" b="6985"/>
                                  <wp:docPr id="365260831" name="图片 365260831" descr="C:/Users/admin/Desktop/体系培训图.jpg体系培训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60831" name="图片 365260831" descr="C:/Users/admin/Desktop/体系培训图.jpg体系培训图"/>
                                          <pic:cNvPicPr>
                                            <a:picLocks noChangeAspect="1" noChangeArrowheads="1"/>
                                          </pic:cNvPicPr>
                                        </pic:nvPicPr>
                                        <pic:blipFill>
                                          <a:blip r:embed="rId18"/>
                                          <a:srcRect l="5710" r="5710"/>
                                          <a:stretch>
                                            <a:fillRect/>
                                          </a:stretch>
                                        </pic:blipFill>
                                        <pic:spPr>
                                          <a:xfrm>
                                            <a:off x="0" y="0"/>
                                            <a:ext cx="2876851" cy="2418715"/>
                                          </a:xfrm>
                                          <a:prstGeom prst="rect">
                                            <a:avLst/>
                                          </a:prstGeom>
                                          <a:noFill/>
                                          <a:ln>
                                            <a:noFill/>
                                          </a:ln>
                                        </pic:spPr>
                                      </pic:pic>
                                    </a:graphicData>
                                  </a:graphic>
                                </wp:inline>
                              </w:drawing>
                            </w:r>
                            <w:r>
                              <w:rPr>
                                <w:rFonts w:hint="eastAsia"/>
                                <w:highlight w:val="yellow"/>
                                <w:lang w:eastAsia="zh-CN"/>
                              </w:rPr>
                              <w:t>外训照片-待贴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85pt;margin-top:116.85pt;height:216pt;width:236.25pt;z-index:251665408;mso-width-relative:page;mso-height-relative:page;" fillcolor="#FFFFFF [3201]" filled="t" stroked="t" coordsize="21600,21600" o:gfxdata="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nd3OdcAAAALAQAADwAAAAAAAAABACAAAAAiAAAAZHJzL2Rvd25yZXYueG1sUEsBAhQAFAAAAAgA&#10;h07iQFKbOZJfAgAAyAQAAA4AAAAAAAAAAQAgAAAAJgEAAGRycy9lMm9Eb2MueG1sUEsFBgAAAAAG&#10;AAYAWQEAAPcFAAAAAA==&#10;">
                <v:fill on="t" focussize="0,0"/>
                <v:stroke weight="0.5pt" color="#000000 [3204]" joinstyle="round"/>
                <v:imagedata o:title=""/>
                <o:lock v:ext="edit" aspectratio="f"/>
                <v:textbox>
                  <w:txbxContent>
                    <w:p w14:paraId="60B5C27B">
                      <w:pPr>
                        <w:jc w:val="center"/>
                        <w:rPr>
                          <w:lang w:eastAsia="zh-CN"/>
                        </w:rPr>
                      </w:pPr>
                      <w:bookmarkStart w:id="60" w:name="_Hlk150938373"/>
                      <w:bookmarkEnd w:id="60"/>
                      <w:r>
                        <w:rPr>
                          <w:rFonts w:hint="eastAsia"/>
                          <w:highlight w:val="yellow"/>
                          <w:lang w:eastAsia="zh-CN"/>
                        </w:rPr>
                        <w:t>IATF体系</w:t>
                      </w:r>
                      <w:r>
                        <w:rPr>
                          <w:lang w:eastAsia="zh-CN"/>
                        </w:rPr>
                        <w:drawing>
                          <wp:inline distT="0" distB="0" distL="0" distR="0">
                            <wp:extent cx="2857500" cy="2418715"/>
                            <wp:effectExtent l="0" t="0" r="0" b="6985"/>
                            <wp:docPr id="365260831" name="图片 365260831" descr="C:/Users/admin/Desktop/体系培训图.jpg体系培训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60831" name="图片 365260831" descr="C:/Users/admin/Desktop/体系培训图.jpg体系培训图"/>
                                    <pic:cNvPicPr>
                                      <a:picLocks noChangeAspect="1" noChangeArrowheads="1"/>
                                    </pic:cNvPicPr>
                                  </pic:nvPicPr>
                                  <pic:blipFill>
                                    <a:blip r:embed="rId18"/>
                                    <a:srcRect l="5710" r="5710"/>
                                    <a:stretch>
                                      <a:fillRect/>
                                    </a:stretch>
                                  </pic:blipFill>
                                  <pic:spPr>
                                    <a:xfrm>
                                      <a:off x="0" y="0"/>
                                      <a:ext cx="2876851" cy="2418715"/>
                                    </a:xfrm>
                                    <a:prstGeom prst="rect">
                                      <a:avLst/>
                                    </a:prstGeom>
                                    <a:noFill/>
                                    <a:ln>
                                      <a:noFill/>
                                    </a:ln>
                                  </pic:spPr>
                                </pic:pic>
                              </a:graphicData>
                            </a:graphic>
                          </wp:inline>
                        </w:drawing>
                      </w:r>
                      <w:r>
                        <w:rPr>
                          <w:rFonts w:hint="eastAsia"/>
                          <w:highlight w:val="yellow"/>
                          <w:lang w:eastAsia="zh-CN"/>
                        </w:rPr>
                        <w:t>外训照片-待贴</w:t>
                      </w:r>
                    </w:p>
                  </w:txbxContent>
                </v:textbox>
              </v:shape>
            </w:pict>
          </mc:Fallback>
        </mc:AlternateContent>
      </w:r>
      <w:r>
        <w:rPr>
          <w:lang w:eastAsia="zh-CN"/>
        </w:rPr>
        <w:t>人才的培养与发展是公司战略达成和业务发展的重要保障。</w:t>
      </w:r>
      <w:r>
        <w:rPr>
          <w:rFonts w:hint="eastAsia"/>
          <w:lang w:eastAsia="zh-CN"/>
        </w:rPr>
        <w:t>公司</w:t>
      </w:r>
      <w:r>
        <w:rPr>
          <w:lang w:eastAsia="zh-CN"/>
        </w:rPr>
        <w:t>用线上线下相结合的方式开展全方位的人才培养，为公司可持续发展提供保障。培训的内容涉及到了企业文化、职业素质、工作技巧、管理技能、专业技能/技术、安全环保各个模块，培训对象除了新入职员工、办公室职员、生产类员工、研发类员工、管理人员</w:t>
      </w:r>
      <w:r>
        <w:rPr>
          <w:rFonts w:hint="eastAsia"/>
          <w:lang w:eastAsia="zh-CN"/>
        </w:rPr>
        <w:t>及</w:t>
      </w:r>
      <w:r>
        <w:rPr>
          <w:lang w:eastAsia="zh-CN"/>
        </w:rPr>
        <w:t>重点群体的梯队储备人员。</w:t>
      </w:r>
    </w:p>
    <w:p w14:paraId="24C17FC2">
      <w:pPr>
        <w:pStyle w:val="5"/>
        <w:spacing w:before="4" w:line="364" w:lineRule="auto"/>
        <w:ind w:left="6379" w:right="1008" w:firstLine="464" w:firstLineChars="200"/>
        <w:rPr>
          <w:spacing w:val="-8"/>
          <w:lang w:eastAsia="zh-CN"/>
        </w:rPr>
      </w:pPr>
      <w:r>
        <w:rPr>
          <w:spacing w:val="-4"/>
          <w:lang w:eastAsia="zh-CN"/>
        </w:rPr>
        <w:t>本年度有覆盖全员的培训计划，也有</w:t>
      </w:r>
      <w:r>
        <w:rPr>
          <w:spacing w:val="11"/>
          <w:lang w:eastAsia="zh-CN"/>
        </w:rPr>
        <w:t>精准匹配培训资源对接各业务层面</w:t>
      </w:r>
      <w:r>
        <w:rPr>
          <w:spacing w:val="-8"/>
          <w:lang w:eastAsia="zh-CN"/>
        </w:rPr>
        <w:t>的需求，在重点人才周期性培养项目上进行培训赋能，助推业务转型升级</w:t>
      </w:r>
      <w:r>
        <w:rPr>
          <w:rFonts w:hint="eastAsia"/>
          <w:spacing w:val="-8"/>
          <w:lang w:eastAsia="zh-CN"/>
        </w:rPr>
        <w:t>。</w:t>
      </w:r>
    </w:p>
    <w:p w14:paraId="3421869A">
      <w:pPr>
        <w:pStyle w:val="5"/>
        <w:tabs>
          <w:tab w:val="left" w:pos="6379"/>
        </w:tabs>
        <w:spacing w:before="4" w:line="364" w:lineRule="auto"/>
        <w:ind w:left="6379" w:right="866" w:firstLine="464" w:firstLineChars="200"/>
        <w:rPr>
          <w:lang w:eastAsia="zh-CN"/>
        </w:rPr>
      </w:pPr>
      <w:r>
        <w:rPr>
          <w:spacing w:val="-4"/>
          <w:lang w:eastAsia="zh-CN"/>
        </w:rPr>
        <w:t>公司坚持推行“全员培训、学以致用”的培训理念，包含</w:t>
      </w:r>
      <w:r>
        <w:rPr>
          <w:rFonts w:hint="eastAsia"/>
          <w:spacing w:val="-4"/>
          <w:lang w:eastAsia="zh-CN"/>
        </w:rPr>
        <w:t>各</w:t>
      </w:r>
      <w:r>
        <w:rPr>
          <w:spacing w:val="-4"/>
          <w:lang w:eastAsia="zh-CN"/>
        </w:rPr>
        <w:t>职能部门培训管理员、内外部讲师、各级管理者在内的各类人员都会参</w:t>
      </w:r>
      <w:r>
        <w:rPr>
          <w:lang w:eastAsia="zh-CN"/>
        </w:rPr>
        <w:t>与培训工作，培训</w:t>
      </w:r>
    </w:p>
    <w:p w14:paraId="29537060">
      <w:pPr>
        <w:pStyle w:val="5"/>
        <w:spacing w:before="4" w:line="364" w:lineRule="auto"/>
        <w:ind w:left="1560" w:leftChars="709" w:right="866" w:firstLine="1"/>
        <w:rPr>
          <w:spacing w:val="-4"/>
          <w:lang w:eastAsia="zh-CN"/>
        </w:rPr>
      </w:pPr>
      <w:r>
        <w:rPr>
          <w:lang w:eastAsia="zh-CN"/>
        </w:rPr>
        <w:t>效果的评估贯穿每一个培训项目的全过程。同时，为了提升培训效果，不断优化</w:t>
      </w:r>
      <w:r>
        <w:rPr>
          <w:rFonts w:hint="eastAsia"/>
          <w:lang w:eastAsia="zh-CN"/>
        </w:rPr>
        <w:t>课程内容和模式</w:t>
      </w:r>
      <w:r>
        <w:rPr>
          <w:lang w:eastAsia="zh-CN"/>
        </w:rPr>
        <w:t>。培训计划的制定和实施，为各级各类员工提供了与其职业提升和公司发展相匹配的学习机会，为公司的持续发展注入动力。</w:t>
      </w:r>
    </w:p>
    <w:p w14:paraId="010AE779">
      <w:pPr>
        <w:pStyle w:val="5"/>
        <w:spacing w:before="90" w:line="364" w:lineRule="auto"/>
        <w:ind w:left="1560" w:leftChars="709" w:right="1008" w:firstLine="480" w:firstLineChars="200"/>
        <w:jc w:val="both"/>
        <w:rPr>
          <w:lang w:eastAsia="zh-CN"/>
        </w:rPr>
      </w:pPr>
      <w:r>
        <w:rPr>
          <w:lang w:eastAsia="zh-CN"/>
        </w:rPr>
        <w:t>此外，为促进员工的自我提升，公司还制定了</w:t>
      </w:r>
      <w:r>
        <w:rPr>
          <w:rFonts w:hint="eastAsia"/>
          <w:lang w:eastAsia="zh-CN"/>
        </w:rPr>
        <w:t>《研发创新奖励办法》</w:t>
      </w:r>
      <w:r>
        <w:rPr>
          <w:lang w:eastAsia="zh-CN"/>
        </w:rPr>
        <w:t>等，对科技创新、专利研发、市场开拓等行为进行奖励，每年均发放数万元奖励。目前，公司已拟定 2023 年度整体培训计划，做到了“聚焦重点，统筹兼顾”， 紧跟公司“十四五”发展规划，满足年度核心业务及新业务板块发展所需人才队伍的快速培养的需要。</w:t>
      </w:r>
    </w:p>
    <w:p w14:paraId="7C277740">
      <w:pPr>
        <w:pStyle w:val="3"/>
        <w:tabs>
          <w:tab w:val="left" w:pos="2069"/>
        </w:tabs>
        <w:spacing w:before="425"/>
        <w:ind w:firstLine="1601" w:firstLineChars="500"/>
        <w:rPr>
          <w:rFonts w:ascii="Microsoft YaHei UI" w:hAnsi="Microsoft YaHei UI" w:eastAsia="Microsoft YaHei UI"/>
          <w:color w:val="0000CC"/>
          <w:lang w:eastAsia="zh-CN"/>
        </w:rPr>
      </w:pPr>
      <w:bookmarkStart w:id="44" w:name="_Toc151985193"/>
      <w:bookmarkStart w:id="45" w:name="_Toc152057911"/>
      <w:r>
        <w:rPr>
          <w:rFonts w:hint="eastAsia" w:ascii="Microsoft YaHei UI" w:hAnsi="Microsoft YaHei UI" w:eastAsia="Microsoft YaHei UI"/>
          <w:color w:val="0000CC"/>
          <w:lang w:eastAsia="zh-CN"/>
        </w:rPr>
        <w:t>4</w:t>
      </w:r>
      <w:r>
        <w:rPr>
          <w:rFonts w:ascii="Microsoft YaHei UI" w:hAnsi="Microsoft YaHei UI" w:eastAsia="Microsoft YaHei UI"/>
          <w:color w:val="0000CC"/>
          <w:lang w:eastAsia="zh-CN"/>
        </w:rPr>
        <w:t>.4员工民主管理</w:t>
      </w:r>
      <w:bookmarkEnd w:id="44"/>
      <w:bookmarkEnd w:id="45"/>
    </w:p>
    <w:p w14:paraId="370C1150">
      <w:pPr>
        <w:pStyle w:val="5"/>
        <w:spacing w:before="130" w:line="364" w:lineRule="auto"/>
        <w:ind w:left="1560" w:leftChars="709" w:right="995" w:firstLine="480" w:firstLineChars="200"/>
        <w:jc w:val="both"/>
        <w:rPr>
          <w:lang w:eastAsia="zh-CN"/>
        </w:rPr>
      </w:pPr>
      <w:r>
        <w:rPr>
          <w:lang w:eastAsia="zh-CN"/>
        </w:rPr>
        <w:t>公司工会保障员工的社会对话机制和集体谈判机制，负责公司职工劳动争议的调解工作。近年来，公司工会积极做好</w:t>
      </w:r>
      <w:r>
        <w:rPr>
          <w:rFonts w:hint="eastAsia"/>
          <w:lang w:eastAsia="zh-CN"/>
        </w:rPr>
        <w:t>申诉</w:t>
      </w:r>
      <w:r>
        <w:rPr>
          <w:lang w:eastAsia="zh-CN"/>
        </w:rPr>
        <w:t>接待处理工作，依法照章切实维护职工的合法权益，使员工合法权益得到保障，合理诉求得到有效解决。作为一家民主管理氛围浓厚的上市企业，公司在发展变革过程中积极探索和完善以职工代表大会制度为基础的民主管理制度。</w:t>
      </w:r>
    </w:p>
    <w:p w14:paraId="65010BEB">
      <w:pPr>
        <w:pStyle w:val="5"/>
        <w:spacing w:before="130" w:line="364" w:lineRule="auto"/>
        <w:ind w:left="1560" w:leftChars="709" w:right="995" w:firstLine="480" w:firstLineChars="200"/>
        <w:jc w:val="both"/>
        <w:rPr>
          <w:lang w:eastAsia="zh-CN"/>
        </w:rPr>
      </w:pPr>
      <w:r>
        <w:rPr>
          <w:lang w:eastAsia="zh-CN"/>
        </w:rPr>
        <w:t>公司工会牵头成立的职工代表大会，由公司各部门、各岗位的员工选举出职工代表并通过代表收集与员工利益相关的工资福利、安全保障、制度执行方面的情况和问题、收集汇总各类合理化建议，提交职工提案，与工会委员进行沟通协调。工会将讨论结果反馈给公司相关职能部门和公司高层，并跟踪议案的反馈和执行情况。凡遇公司出台涉及员工权益的制度或决定时，公司经营层会邀请工会并听取意见，重要事项由职工代表大会讨论并表决</w:t>
      </w:r>
      <w:r>
        <w:rPr>
          <w:rFonts w:hint="eastAsia"/>
          <w:lang w:eastAsia="zh-CN"/>
        </w:rPr>
        <w:t>，</w:t>
      </w:r>
      <w:r>
        <w:rPr>
          <w:lang w:eastAsia="zh-CN"/>
        </w:rPr>
        <w:t>确保员工在公司治理中享有充分的权利。</w:t>
      </w:r>
    </w:p>
    <w:p w14:paraId="743318C0">
      <w:pPr>
        <w:pStyle w:val="5"/>
        <w:spacing w:before="130" w:line="364" w:lineRule="auto"/>
        <w:ind w:left="1560" w:leftChars="709" w:right="995" w:firstLine="480" w:firstLineChars="200"/>
        <w:jc w:val="both"/>
        <w:rPr>
          <w:lang w:eastAsia="zh-CN"/>
        </w:rPr>
      </w:pPr>
      <w:r>
        <w:rPr>
          <w:lang w:eastAsia="zh-CN"/>
        </w:rPr>
        <w:t>公司的发展离不开全体员工的集体智慧，因此公司特别重视员工的建议及意见， 采取各种手段收集基层员工的意见和建议，除职代会外还包括：每年定期召开有高层管理者参与的</w:t>
      </w:r>
      <w:r>
        <w:rPr>
          <w:rFonts w:hint="eastAsia"/>
          <w:lang w:eastAsia="zh-CN"/>
        </w:rPr>
        <w:t>新老</w:t>
      </w:r>
      <w:r>
        <w:rPr>
          <w:lang w:eastAsia="zh-CN"/>
        </w:rPr>
        <w:t>员工座谈会，高层管理者可以直接倾听员工的心声；重大节日由高层领导带队深入生产一线进行慰问、调研，关心员工的生产和生活；公司</w:t>
      </w:r>
      <w:r>
        <w:rPr>
          <w:rFonts w:hint="eastAsia"/>
          <w:lang w:eastAsia="zh-CN"/>
        </w:rPr>
        <w:t>设立总经理信箱</w:t>
      </w:r>
      <w:r>
        <w:rPr>
          <w:lang w:eastAsia="zh-CN"/>
        </w:rPr>
        <w:t>向全体员工开放，员工可随时向高层提出建议和意见；公司每年定期组织员工进行满意度调查，调查结果直接向高层领导汇报；同时，对于适合公司的合理化建议， 公司将立项跟进，并在公司内部报刊跟踪反馈，并且每年评选优秀建议，对有价值的提案给予表彰及奖励。</w:t>
      </w:r>
    </w:p>
    <w:p w14:paraId="4B3DDE2B">
      <w:pPr>
        <w:pStyle w:val="5"/>
        <w:spacing w:before="130" w:line="364" w:lineRule="auto"/>
        <w:ind w:left="1560" w:leftChars="709" w:right="995" w:firstLine="480" w:firstLineChars="200"/>
        <w:jc w:val="both"/>
        <w:rPr>
          <w:lang w:eastAsia="zh-CN"/>
        </w:rPr>
      </w:pPr>
    </w:p>
    <w:p w14:paraId="1B9C4096">
      <w:pPr>
        <w:pStyle w:val="5"/>
        <w:spacing w:before="130" w:line="364" w:lineRule="auto"/>
        <w:ind w:left="1560" w:leftChars="709" w:right="995" w:firstLine="480" w:firstLineChars="200"/>
        <w:jc w:val="both"/>
        <w:rPr>
          <w:lang w:eastAsia="zh-CN"/>
        </w:rPr>
      </w:pPr>
    </w:p>
    <w:p w14:paraId="79DA6626">
      <w:pPr>
        <w:pStyle w:val="5"/>
        <w:spacing w:before="130" w:line="364" w:lineRule="auto"/>
        <w:ind w:left="1560" w:leftChars="709" w:right="995" w:firstLine="480" w:firstLineChars="200"/>
        <w:jc w:val="both"/>
        <w:rPr>
          <w:lang w:eastAsia="zh-CN"/>
        </w:rPr>
      </w:pPr>
    </w:p>
    <w:p w14:paraId="19DE1CFA">
      <w:pPr>
        <w:pStyle w:val="5"/>
        <w:spacing w:before="130" w:line="364" w:lineRule="auto"/>
        <w:ind w:right="995"/>
        <w:jc w:val="both"/>
        <w:rPr>
          <w:lang w:eastAsia="zh-CN"/>
        </w:rPr>
      </w:pPr>
    </w:p>
    <w:p w14:paraId="4573BDCC">
      <w:pPr>
        <w:pStyle w:val="2"/>
        <w:keepNext w:val="0"/>
        <w:keepLines w:val="0"/>
        <w:numPr>
          <w:ilvl w:val="0"/>
          <w:numId w:val="1"/>
        </w:numPr>
        <w:tabs>
          <w:tab w:val="left" w:pos="2410"/>
        </w:tabs>
        <w:spacing w:before="47" w:after="0" w:line="240" w:lineRule="auto"/>
        <w:ind w:left="0" w:firstLine="1561" w:firstLineChars="520"/>
        <w:rPr>
          <w:rFonts w:ascii="Microsoft YaHei UI" w:hAnsi="Microsoft YaHei UI" w:eastAsia="Microsoft YaHei UI" w:cs="Microsoft YaHei UI"/>
          <w:kern w:val="0"/>
          <w:sz w:val="30"/>
          <w:szCs w:val="30"/>
          <w:lang w:eastAsia="zh-CN"/>
        </w:rPr>
      </w:pPr>
      <w:bookmarkStart w:id="46" w:name="_Toc152057912"/>
      <w:bookmarkStart w:id="47" w:name="_Toc151985194"/>
      <w:r>
        <w:rPr>
          <w:rFonts w:ascii="Microsoft YaHei UI" w:hAnsi="Microsoft YaHei UI" w:eastAsia="Microsoft YaHei UI" w:cs="Microsoft YaHei UI"/>
          <w:kern w:val="0"/>
          <w:sz w:val="30"/>
          <w:szCs w:val="30"/>
          <w:lang w:eastAsia="zh-CN"/>
        </w:rPr>
        <w:t>供应商和客户权益保护</w:t>
      </w:r>
      <w:bookmarkEnd w:id="46"/>
      <w:bookmarkEnd w:id="47"/>
    </w:p>
    <w:p w14:paraId="004C69CC">
      <w:pPr>
        <w:pStyle w:val="3"/>
        <w:tabs>
          <w:tab w:val="left" w:pos="2069"/>
        </w:tabs>
        <w:spacing w:before="425"/>
        <w:ind w:firstLine="1601" w:firstLineChars="500"/>
        <w:rPr>
          <w:rFonts w:ascii="Microsoft YaHei UI" w:hAnsi="Microsoft YaHei UI" w:eastAsia="Microsoft YaHei UI"/>
          <w:color w:val="0000CC"/>
          <w:lang w:eastAsia="zh-CN"/>
        </w:rPr>
      </w:pPr>
      <w:bookmarkStart w:id="48" w:name="_Toc151985195"/>
      <w:bookmarkStart w:id="49" w:name="_Toc152057913"/>
      <w:r>
        <w:rPr>
          <w:rFonts w:hint="eastAsia" w:ascii="Microsoft YaHei UI" w:hAnsi="Microsoft YaHei UI" w:eastAsia="Microsoft YaHei UI"/>
          <w:color w:val="0000CC"/>
          <w:lang w:eastAsia="zh-CN"/>
        </w:rPr>
        <w:t>5</w:t>
      </w:r>
      <w:r>
        <w:rPr>
          <w:rFonts w:ascii="Microsoft YaHei UI" w:hAnsi="Microsoft YaHei UI" w:eastAsia="Microsoft YaHei UI"/>
          <w:color w:val="0000CC"/>
          <w:lang w:eastAsia="zh-CN"/>
        </w:rPr>
        <w:t>.1诚信对待供应商和客户</w:t>
      </w:r>
      <w:bookmarkEnd w:id="48"/>
      <w:bookmarkEnd w:id="49"/>
    </w:p>
    <w:p w14:paraId="7F12DA01">
      <w:pPr>
        <w:pStyle w:val="5"/>
        <w:spacing w:before="130" w:line="364" w:lineRule="auto"/>
        <w:ind w:left="1560" w:leftChars="709" w:right="724" w:firstLine="480" w:firstLineChars="200"/>
        <w:jc w:val="both"/>
        <w:rPr>
          <w:lang w:eastAsia="zh-CN"/>
        </w:rPr>
      </w:pPr>
      <w:r>
        <w:rPr>
          <w:lang w:eastAsia="zh-CN"/>
        </w:rPr>
        <w:t>公司秉持着</w:t>
      </w:r>
      <w:r>
        <w:rPr>
          <w:rFonts w:hint="eastAsia"/>
          <w:lang w:eastAsia="zh-CN"/>
        </w:rPr>
        <w:t>“人性尊重、相互信赖、全体经营”的经营理念和“顾客满意是企业生存之根本”</w:t>
      </w:r>
      <w:r>
        <w:rPr>
          <w:lang w:eastAsia="zh-CN"/>
        </w:rPr>
        <w:t>的</w:t>
      </w:r>
      <w:r>
        <w:rPr>
          <w:rFonts w:hint="eastAsia"/>
          <w:lang w:eastAsia="zh-CN"/>
        </w:rPr>
        <w:t>品质政策</w:t>
      </w:r>
      <w:r>
        <w:rPr>
          <w:lang w:eastAsia="zh-CN"/>
        </w:rPr>
        <w:t>，重视发展与供应商和客户之间平等、高效的合作关系，通过信息共享、改善沟通机制提高了与产业链上下游相关方之间的沟通效率和质量，并把供应商和客户的满意度作为衡量公司有关工作的标准之一。公司充分尊重并保护供应商和客户的合法权益，</w:t>
      </w:r>
      <w:r>
        <w:rPr>
          <w:rFonts w:hint="eastAsia"/>
          <w:lang w:eastAsia="zh-CN"/>
        </w:rPr>
        <w:t>2023</w:t>
      </w:r>
      <w:r>
        <w:rPr>
          <w:lang w:eastAsia="zh-CN"/>
        </w:rPr>
        <w:t xml:space="preserve"> 年，公司未发生重大产品质量和安全事故。</w:t>
      </w:r>
    </w:p>
    <w:p w14:paraId="114266A8">
      <w:pPr>
        <w:pStyle w:val="5"/>
        <w:spacing w:before="130" w:line="364" w:lineRule="auto"/>
        <w:ind w:left="1560" w:leftChars="709" w:right="724" w:firstLine="480" w:firstLineChars="200"/>
        <w:jc w:val="both"/>
        <w:rPr>
          <w:lang w:eastAsia="zh-CN"/>
        </w:rPr>
      </w:pPr>
      <w:r>
        <w:rPr>
          <w:lang w:eastAsia="zh-CN"/>
        </w:rPr>
        <w:t>公司坚持公开、公平、公正的采购原则，与供应商保持长期稳定的合作关系。通过制订《采购管理制度》以及《</w:t>
      </w:r>
      <w:r>
        <w:rPr>
          <w:rFonts w:hint="eastAsia"/>
          <w:lang w:eastAsia="zh-CN"/>
        </w:rPr>
        <w:t>供应商廉洁管理</w:t>
      </w:r>
      <w:r>
        <w:rPr>
          <w:lang w:eastAsia="zh-CN"/>
        </w:rPr>
        <w:t>制度》等制度，公司完善采购流程，建立了采购监督体系，以规范物各类资采购行为，确保供应商公平竞争。公司对第三方服务机构和采购供应商也进行着适度的社会责任审核和督导，从法律法规、劳工权利、监管体系等各方面推动第三方服务机构和采购供应商的社会责任意识的提高。</w:t>
      </w:r>
    </w:p>
    <w:p w14:paraId="3B68EC1C">
      <w:pPr>
        <w:pStyle w:val="5"/>
        <w:spacing w:before="130" w:line="364" w:lineRule="auto"/>
        <w:ind w:left="1560" w:leftChars="709" w:right="724" w:firstLine="480" w:firstLineChars="200"/>
        <w:jc w:val="both"/>
        <w:rPr>
          <w:lang w:eastAsia="zh-CN"/>
        </w:rPr>
      </w:pPr>
      <w:r>
        <w:rPr>
          <w:lang w:eastAsia="zh-CN"/>
        </w:rPr>
        <w:t>公司严格规范招标程序，确保公开、公平、公正，在重大设备招标采购过程中， 招标文件规定投标企业必须取得质量管理体系认证证书；在评标过程中，将环境管理体系认证、职业健康安全管理体系认证、银行资信证明、用户调查情况表等作为对投标企业的评分重要依据。报告期内，公司重大设备招标采购供应商社会责任采购比率为 100％。</w:t>
      </w:r>
    </w:p>
    <w:p w14:paraId="59EC03B5">
      <w:pPr>
        <w:pStyle w:val="3"/>
        <w:tabs>
          <w:tab w:val="left" w:pos="2069"/>
        </w:tabs>
        <w:spacing w:before="425"/>
        <w:ind w:firstLine="1601" w:firstLineChars="500"/>
        <w:rPr>
          <w:rFonts w:ascii="Microsoft YaHei UI" w:hAnsi="Microsoft YaHei UI" w:eastAsia="Microsoft YaHei UI"/>
          <w:color w:val="0000CC"/>
          <w:lang w:eastAsia="zh-CN"/>
        </w:rPr>
      </w:pPr>
      <w:bookmarkStart w:id="50" w:name="_Toc152057914"/>
      <w:bookmarkStart w:id="51" w:name="_Toc151985196"/>
      <w:r>
        <w:rPr>
          <w:rFonts w:hint="eastAsia" w:ascii="Microsoft YaHei UI" w:hAnsi="Microsoft YaHei UI" w:eastAsia="Microsoft YaHei UI"/>
          <w:color w:val="0000CC"/>
          <w:lang w:eastAsia="zh-CN"/>
        </w:rPr>
        <w:t>5</w:t>
      </w:r>
      <w:r>
        <w:rPr>
          <w:rFonts w:ascii="Microsoft YaHei UI" w:hAnsi="Microsoft YaHei UI" w:eastAsia="Microsoft YaHei UI"/>
          <w:color w:val="0000CC"/>
          <w:lang w:eastAsia="zh-CN"/>
        </w:rPr>
        <w:t>.2构建绿色供应链</w:t>
      </w:r>
      <w:bookmarkEnd w:id="50"/>
      <w:bookmarkEnd w:id="51"/>
    </w:p>
    <w:p w14:paraId="2A1C5C59">
      <w:pPr>
        <w:pStyle w:val="5"/>
        <w:spacing w:before="130" w:line="364" w:lineRule="auto"/>
        <w:ind w:left="1560" w:leftChars="709" w:right="582" w:firstLine="480" w:firstLineChars="200"/>
        <w:jc w:val="both"/>
        <w:rPr>
          <w:lang w:eastAsia="zh-CN"/>
        </w:rPr>
      </w:pPr>
      <w:r>
        <w:rPr>
          <w:lang w:eastAsia="zh-CN"/>
        </w:rPr>
        <w:t>制定绿色采购战略，在供应商的选择、考核、管理全流程融入低碳减排、节能降耗方面的表现，推动打造绿色低碳可持续发展的自有供应链。</w:t>
      </w:r>
    </w:p>
    <w:p w14:paraId="78E04366">
      <w:pPr>
        <w:pStyle w:val="5"/>
        <w:spacing w:before="130" w:line="364" w:lineRule="auto"/>
        <w:ind w:left="1560" w:leftChars="709" w:right="582" w:firstLine="480" w:firstLineChars="200"/>
        <w:jc w:val="both"/>
        <w:rPr>
          <w:lang w:eastAsia="zh-CN"/>
        </w:rPr>
      </w:pPr>
      <w:r>
        <w:rPr>
          <w:lang w:eastAsia="zh-CN"/>
        </w:rPr>
        <w:t>建完善的供应商评价筛选体系，以科学、全面的指标对供应商进行定期评级， 采用淘汰制不断补充新的优质供应商，为绿色供应链提供新鲜血液。</w:t>
      </w:r>
    </w:p>
    <w:p w14:paraId="3F4A481A">
      <w:pPr>
        <w:pStyle w:val="5"/>
        <w:spacing w:before="130" w:line="364" w:lineRule="auto"/>
        <w:ind w:left="1560" w:leftChars="709" w:right="582" w:firstLine="480" w:firstLineChars="200"/>
        <w:jc w:val="both"/>
        <w:rPr>
          <w:lang w:eastAsia="zh-CN"/>
        </w:rPr>
      </w:pPr>
      <w:r>
        <w:rPr>
          <w:lang w:eastAsia="zh-CN"/>
        </w:rPr>
        <w:t>向供应商充分传达绿色采购战略的要义，从主要供应商开始，支持鼓励其制定减排目标，实施减排举措，以逐步推动实现整个供应链的减排目标</w:t>
      </w:r>
    </w:p>
    <w:p w14:paraId="35D3185F">
      <w:pPr>
        <w:pStyle w:val="2"/>
        <w:keepNext w:val="0"/>
        <w:keepLines w:val="0"/>
        <w:numPr>
          <w:ilvl w:val="0"/>
          <w:numId w:val="1"/>
        </w:numPr>
        <w:tabs>
          <w:tab w:val="left" w:pos="2410"/>
        </w:tabs>
        <w:spacing w:before="47" w:after="0" w:line="240" w:lineRule="auto"/>
        <w:ind w:left="0" w:firstLine="1561" w:firstLineChars="520"/>
        <w:rPr>
          <w:rFonts w:ascii="Microsoft YaHei UI" w:hAnsi="Microsoft YaHei UI" w:eastAsia="Microsoft YaHei UI" w:cs="Microsoft YaHei UI"/>
          <w:kern w:val="0"/>
          <w:sz w:val="30"/>
          <w:szCs w:val="30"/>
          <w:lang w:eastAsia="zh-CN"/>
        </w:rPr>
      </w:pPr>
      <w:bookmarkStart w:id="52" w:name="_Toc152057915"/>
      <w:bookmarkStart w:id="53" w:name="_Toc151985197"/>
      <w:r>
        <w:rPr>
          <w:rFonts w:ascii="Microsoft YaHei UI" w:hAnsi="Microsoft YaHei UI" w:eastAsia="Microsoft YaHei UI" w:cs="Microsoft YaHei UI"/>
          <w:kern w:val="0"/>
          <w:sz w:val="30"/>
          <w:szCs w:val="30"/>
          <w:lang w:eastAsia="zh-CN"/>
        </w:rPr>
        <w:t>公共关系及社会公益事业</w:t>
      </w:r>
      <w:bookmarkEnd w:id="52"/>
      <w:bookmarkEnd w:id="53"/>
    </w:p>
    <w:p w14:paraId="2D78A8F3">
      <w:pPr>
        <w:pStyle w:val="5"/>
        <w:spacing w:before="130" w:line="364" w:lineRule="auto"/>
        <w:ind w:left="1560" w:leftChars="709" w:right="995" w:firstLine="480" w:firstLineChars="200"/>
        <w:jc w:val="both"/>
        <w:rPr>
          <w:lang w:eastAsia="zh-CN"/>
        </w:rPr>
      </w:pPr>
      <w:r>
        <w:rPr>
          <w:lang w:eastAsia="zh-CN"/>
        </w:rPr>
        <w:t>公司的发展离不开健康和谐的社会环境，公司始终以回报社会为己任，积极投身社会公益事业，将关爱社会作为企业文化建设的一项重要组成部分，在公司快速发展的同时，始终坚持“为顾客创造价值，为股东创造财富，为员工创造利益，为社会创造繁荣”，将企业使命和社会责任相结合，身体力行，从身边做起，从细微做起，积涓流以成江海，源源不断地向社会传递更多的正能量。</w:t>
      </w:r>
    </w:p>
    <w:p w14:paraId="6E5D0721">
      <w:pPr>
        <w:pStyle w:val="3"/>
        <w:tabs>
          <w:tab w:val="left" w:pos="2069"/>
        </w:tabs>
        <w:spacing w:before="425"/>
        <w:ind w:firstLine="1601" w:firstLineChars="500"/>
        <w:rPr>
          <w:rFonts w:ascii="Microsoft YaHei UI" w:hAnsi="Microsoft YaHei UI" w:eastAsia="Microsoft YaHei UI"/>
          <w:color w:val="0000CC"/>
          <w:lang w:eastAsia="zh-CN"/>
        </w:rPr>
      </w:pPr>
      <w:bookmarkStart w:id="54" w:name="_Toc152057916"/>
      <w:bookmarkStart w:id="55" w:name="_Toc151985198"/>
      <w:r>
        <w:rPr>
          <w:rFonts w:hint="eastAsia" w:ascii="Microsoft YaHei UI" w:hAnsi="Microsoft YaHei UI" w:eastAsia="Microsoft YaHei UI"/>
          <w:color w:val="0000CC"/>
          <w:lang w:eastAsia="zh-CN"/>
        </w:rPr>
        <w:t>6</w:t>
      </w:r>
      <w:r>
        <w:rPr>
          <w:rFonts w:ascii="Microsoft YaHei UI" w:hAnsi="Microsoft YaHei UI" w:eastAsia="Microsoft YaHei UI"/>
          <w:color w:val="0000CC"/>
          <w:lang w:eastAsia="zh-CN"/>
        </w:rPr>
        <w:t>.1社会公益</w:t>
      </w:r>
      <w:bookmarkEnd w:id="54"/>
      <w:bookmarkEnd w:id="55"/>
    </w:p>
    <w:p w14:paraId="25A6F5FC">
      <w:pPr>
        <w:pStyle w:val="5"/>
        <w:spacing w:before="130" w:line="364" w:lineRule="auto"/>
        <w:ind w:left="1560" w:leftChars="709" w:right="995" w:firstLine="480" w:firstLineChars="200"/>
        <w:jc w:val="both"/>
        <w:rPr>
          <w:lang w:eastAsia="zh-CN"/>
        </w:rPr>
      </w:pPr>
      <w:r>
        <w:rPr>
          <w:lang w:eastAsia="zh-CN"/>
        </w:rPr>
        <w:t>公司深入践行社会主义核心价值体系，切实履行社会责任，开展救孤济困、扶老助残等慈善活动，积极投身教育、科学、环境保护等公益事业积极投身社会公益事业，将以“平等、互助、博爱、共享”为核心内容的现代慈善理念和以“义利兼顾、以义为先”的光彩理念融入企业文化，已经在在公司内部形成人人关心慈善、人人支持慈善的良好氛围。</w:t>
      </w:r>
      <w:r>
        <w:rPr>
          <w:rFonts w:hint="eastAsia"/>
          <w:lang w:eastAsia="zh-CN"/>
        </w:rPr>
        <w:t>2023</w:t>
      </w:r>
      <w:r>
        <w:rPr>
          <w:lang w:eastAsia="zh-CN"/>
        </w:rPr>
        <w:t>年，公司继续以慈善捐赠、志愿服务等形式开展社会公益活动。</w:t>
      </w:r>
    </w:p>
    <w:p w14:paraId="11378F2E">
      <w:pPr>
        <w:pStyle w:val="5"/>
        <w:spacing w:before="130" w:line="364" w:lineRule="auto"/>
        <w:ind w:left="1560" w:leftChars="709" w:right="995" w:firstLine="480" w:firstLineChars="200"/>
        <w:jc w:val="both"/>
        <w:rPr>
          <w:lang w:eastAsia="zh-CN"/>
        </w:rPr>
      </w:pPr>
      <w:r>
        <w:rPr>
          <w:lang w:eastAsia="zh-CN"/>
        </w:rPr>
        <w:t>公司将继续坚定中国特色社会主义的理想信念、积极参与公益慈善事业、履行社会责任，通过开展社会捐赠、与慈善组织合作、组织员工开展志愿服务、在投资兴业中吸纳困难群体等多种途径参与公益慈善事业、传播慈善文化，为中国特色公益慈善事业的科学发展作出新的更大贡献，持续促进公司与全社会的协调、和谐发展。</w:t>
      </w:r>
    </w:p>
    <w:p w14:paraId="3A2E8882">
      <w:pPr>
        <w:pStyle w:val="5"/>
        <w:spacing w:before="130" w:line="364" w:lineRule="auto"/>
        <w:ind w:left="1560" w:leftChars="709" w:right="995" w:firstLine="480" w:firstLineChars="200"/>
        <w:jc w:val="both"/>
        <w:rPr>
          <w:lang w:eastAsia="zh-CN"/>
        </w:rPr>
      </w:pPr>
    </w:p>
    <w:p w14:paraId="2E7FF9B9">
      <w:pPr>
        <w:pStyle w:val="5"/>
        <w:spacing w:before="130" w:line="364" w:lineRule="auto"/>
        <w:ind w:left="1560" w:leftChars="709" w:right="995" w:firstLine="480" w:firstLineChars="200"/>
        <w:jc w:val="both"/>
        <w:rPr>
          <w:lang w:eastAsia="zh-CN"/>
        </w:rPr>
      </w:pPr>
    </w:p>
    <w:p w14:paraId="3F02532B">
      <w:pPr>
        <w:pStyle w:val="5"/>
        <w:spacing w:before="130" w:line="364" w:lineRule="auto"/>
        <w:ind w:left="1560" w:leftChars="709" w:right="995" w:firstLine="480" w:firstLineChars="200"/>
        <w:jc w:val="both"/>
        <w:rPr>
          <w:lang w:eastAsia="zh-CN"/>
        </w:rPr>
      </w:pPr>
    </w:p>
    <w:p w14:paraId="38469FF8">
      <w:pPr>
        <w:pStyle w:val="5"/>
        <w:spacing w:before="130" w:line="364" w:lineRule="auto"/>
        <w:ind w:left="1560" w:leftChars="709" w:right="995" w:firstLine="480" w:firstLineChars="200"/>
        <w:jc w:val="both"/>
        <w:rPr>
          <w:lang w:eastAsia="zh-CN"/>
        </w:rPr>
      </w:pPr>
    </w:p>
    <w:p w14:paraId="41CFF7F0">
      <w:pPr>
        <w:pStyle w:val="4"/>
        <w:ind w:left="993" w:firstLine="1327" w:firstLineChars="413"/>
        <w:rPr>
          <w:lang w:eastAsia="zh-CN"/>
        </w:rPr>
      </w:pPr>
      <w:bookmarkStart w:id="56" w:name="_Toc151985199"/>
      <w:r>
        <w:rPr>
          <w:lang w:eastAsia="zh-CN"/>
        </w:rPr>
        <w:t>关键绩效指标</w:t>
      </w:r>
      <w:bookmarkEnd w:id="56"/>
    </w:p>
    <w:p w14:paraId="5B550774">
      <w:pPr>
        <w:pStyle w:val="3"/>
        <w:keepNext w:val="0"/>
        <w:keepLines w:val="0"/>
        <w:spacing w:before="0" w:after="0" w:line="240" w:lineRule="auto"/>
        <w:ind w:left="1274" w:leftChars="579" w:firstLine="280" w:firstLineChars="100"/>
        <w:rPr>
          <w:rFonts w:ascii="Microsoft YaHei UI" w:hAnsi="Microsoft YaHei UI" w:eastAsia="Microsoft YaHei UI" w:cs="Microsoft YaHei UI"/>
          <w:color w:val="399999"/>
          <w:sz w:val="28"/>
          <w:szCs w:val="28"/>
          <w:lang w:eastAsia="zh-CN"/>
        </w:rPr>
      </w:pPr>
      <w:bookmarkStart w:id="57" w:name="_Toc152057917"/>
      <w:r>
        <w:rPr>
          <w:rFonts w:hint="eastAsia" w:ascii="Microsoft YaHei UI" w:hAnsi="Microsoft YaHei UI" w:eastAsia="Microsoft YaHei UI" w:cs="Microsoft YaHei UI"/>
          <w:color w:val="399999"/>
          <w:sz w:val="28"/>
          <w:szCs w:val="28"/>
          <w:lang w:eastAsia="zh-CN"/>
        </w:rPr>
        <w:t>环境</w:t>
      </w:r>
      <w:bookmarkEnd w:id="57"/>
    </w:p>
    <w:tbl>
      <w:tblPr>
        <w:tblStyle w:val="10"/>
        <w:tblW w:w="8779" w:type="dxa"/>
        <w:tblInd w:w="1569" w:type="dxa"/>
        <w:tblLayout w:type="autofit"/>
        <w:tblCellMar>
          <w:top w:w="0" w:type="dxa"/>
          <w:left w:w="108" w:type="dxa"/>
          <w:bottom w:w="0" w:type="dxa"/>
          <w:right w:w="108" w:type="dxa"/>
        </w:tblCellMar>
      </w:tblPr>
      <w:tblGrid>
        <w:gridCol w:w="6369"/>
        <w:gridCol w:w="2410"/>
      </w:tblGrid>
      <w:tr w14:paraId="0D11C3C8">
        <w:tblPrEx>
          <w:tblCellMar>
            <w:top w:w="0" w:type="dxa"/>
            <w:left w:w="108" w:type="dxa"/>
            <w:bottom w:w="0" w:type="dxa"/>
            <w:right w:w="108" w:type="dxa"/>
          </w:tblCellMar>
        </w:tblPrEx>
        <w:trPr>
          <w:trHeight w:val="522" w:hRule="atLeast"/>
        </w:trPr>
        <w:tc>
          <w:tcPr>
            <w:tcW w:w="6369" w:type="dxa"/>
            <w:tcBorders>
              <w:top w:val="single" w:color="auto" w:sz="4" w:space="0"/>
              <w:left w:val="nil"/>
              <w:bottom w:val="single" w:color="auto" w:sz="4" w:space="0"/>
              <w:right w:val="single" w:color="auto" w:sz="4" w:space="0"/>
            </w:tcBorders>
            <w:shd w:val="clear" w:color="000000" w:fill="C5DFB3"/>
            <w:vAlign w:val="center"/>
          </w:tcPr>
          <w:p w14:paraId="5FC9021B">
            <w:pPr>
              <w:widowControl/>
              <w:autoSpaceDE/>
              <w:autoSpaceDN/>
              <w:rPr>
                <w:color w:val="000000"/>
                <w:sz w:val="21"/>
                <w:szCs w:val="21"/>
                <w:lang w:eastAsia="zh-CN"/>
              </w:rPr>
            </w:pPr>
            <w:r>
              <w:rPr>
                <w:rFonts w:hint="eastAsia"/>
                <w:color w:val="000000"/>
                <w:sz w:val="21"/>
                <w:szCs w:val="21"/>
                <w:lang w:eastAsia="zh-CN"/>
              </w:rPr>
              <w:t>指标名称（单位）</w:t>
            </w:r>
          </w:p>
        </w:tc>
        <w:tc>
          <w:tcPr>
            <w:tcW w:w="2410" w:type="dxa"/>
            <w:tcBorders>
              <w:top w:val="single" w:color="auto" w:sz="4" w:space="0"/>
              <w:left w:val="nil"/>
              <w:bottom w:val="single" w:color="auto" w:sz="4" w:space="0"/>
              <w:right w:val="nil"/>
            </w:tcBorders>
            <w:shd w:val="clear" w:color="000000" w:fill="C5DFB3"/>
            <w:vAlign w:val="center"/>
          </w:tcPr>
          <w:p w14:paraId="3D62A99D">
            <w:pPr>
              <w:widowControl/>
              <w:autoSpaceDE/>
              <w:autoSpaceDN/>
              <w:jc w:val="right"/>
              <w:rPr>
                <w:color w:val="000000"/>
                <w:sz w:val="21"/>
                <w:szCs w:val="21"/>
                <w:lang w:eastAsia="zh-CN"/>
              </w:rPr>
            </w:pPr>
            <w:r>
              <w:rPr>
                <w:rFonts w:hint="eastAsia"/>
                <w:color w:val="000000"/>
                <w:sz w:val="21"/>
                <w:szCs w:val="21"/>
                <w:lang w:eastAsia="zh-CN"/>
              </w:rPr>
              <w:t>202</w:t>
            </w:r>
            <w:r>
              <w:rPr>
                <w:rFonts w:hint="eastAsia"/>
                <w:color w:val="000000"/>
                <w:sz w:val="21"/>
                <w:szCs w:val="21"/>
                <w:lang w:val="en-US" w:eastAsia="zh-CN"/>
              </w:rPr>
              <w:t>3</w:t>
            </w:r>
            <w:r>
              <w:rPr>
                <w:rFonts w:hint="eastAsia"/>
                <w:color w:val="000000"/>
                <w:sz w:val="21"/>
                <w:szCs w:val="21"/>
                <w:lang w:eastAsia="zh-CN"/>
              </w:rPr>
              <w:t>年</w:t>
            </w:r>
          </w:p>
        </w:tc>
      </w:tr>
      <w:tr w14:paraId="35645360">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000000" w:fill="E3F2D9"/>
            <w:noWrap/>
            <w:vAlign w:val="center"/>
          </w:tcPr>
          <w:p w14:paraId="7D9077AA">
            <w:pPr>
              <w:widowControl/>
              <w:autoSpaceDE/>
              <w:autoSpaceDN/>
              <w:rPr>
                <w:color w:val="000000"/>
                <w:sz w:val="24"/>
                <w:szCs w:val="24"/>
                <w:lang w:eastAsia="zh-CN"/>
              </w:rPr>
            </w:pPr>
            <w:r>
              <w:rPr>
                <w:rFonts w:hint="eastAsia"/>
                <w:color w:val="000000"/>
                <w:sz w:val="21"/>
                <w:szCs w:val="21"/>
                <w:lang w:eastAsia="zh-CN"/>
              </w:rPr>
              <w:t>排放物</w:t>
            </w:r>
          </w:p>
        </w:tc>
        <w:tc>
          <w:tcPr>
            <w:tcW w:w="2410" w:type="dxa"/>
            <w:tcBorders>
              <w:top w:val="nil"/>
              <w:left w:val="nil"/>
              <w:bottom w:val="single" w:color="auto" w:sz="4" w:space="0"/>
              <w:right w:val="nil"/>
            </w:tcBorders>
            <w:shd w:val="clear" w:color="000000" w:fill="E3F2D9"/>
            <w:noWrap/>
            <w:vAlign w:val="center"/>
          </w:tcPr>
          <w:p w14:paraId="2A4BB4D0">
            <w:pPr>
              <w:widowControl/>
              <w:autoSpaceDE/>
              <w:autoSpaceDN/>
              <w:jc w:val="right"/>
              <w:rPr>
                <w:color w:val="000000"/>
                <w:lang w:eastAsia="zh-CN"/>
              </w:rPr>
            </w:pPr>
            <w:r>
              <w:rPr>
                <w:rFonts w:hint="eastAsia"/>
                <w:color w:val="000000"/>
                <w:lang w:eastAsia="zh-CN"/>
              </w:rPr>
              <w:t>　</w:t>
            </w:r>
          </w:p>
        </w:tc>
      </w:tr>
      <w:tr w14:paraId="3DBCA700">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64DF4C1C">
            <w:pPr>
              <w:widowControl/>
              <w:autoSpaceDE/>
              <w:autoSpaceDN/>
              <w:rPr>
                <w:color w:val="000000"/>
                <w:sz w:val="21"/>
                <w:szCs w:val="21"/>
                <w:lang w:eastAsia="zh-CN"/>
              </w:rPr>
            </w:pPr>
            <w:r>
              <w:rPr>
                <w:rFonts w:hint="eastAsia"/>
                <w:color w:val="000000"/>
                <w:sz w:val="21"/>
                <w:szCs w:val="21"/>
                <w:lang w:eastAsia="zh-CN"/>
              </w:rPr>
              <w:t>废气排放量</w:t>
            </w:r>
          </w:p>
        </w:tc>
        <w:tc>
          <w:tcPr>
            <w:tcW w:w="2410" w:type="dxa"/>
            <w:tcBorders>
              <w:top w:val="nil"/>
              <w:left w:val="nil"/>
              <w:bottom w:val="single" w:color="auto" w:sz="4" w:space="0"/>
              <w:right w:val="nil"/>
            </w:tcBorders>
            <w:shd w:val="clear" w:color="auto" w:fill="auto"/>
            <w:noWrap/>
            <w:vAlign w:val="center"/>
          </w:tcPr>
          <w:p w14:paraId="6577BDE3">
            <w:pPr>
              <w:widowControl/>
              <w:autoSpaceDE/>
              <w:autoSpaceDN/>
              <w:jc w:val="right"/>
              <w:rPr>
                <w:color w:val="000000"/>
                <w:sz w:val="24"/>
                <w:szCs w:val="24"/>
                <w:lang w:eastAsia="zh-CN"/>
              </w:rPr>
            </w:pPr>
            <w:r>
              <w:rPr>
                <w:rFonts w:hint="eastAsia"/>
                <w:color w:val="000000"/>
                <w:sz w:val="24"/>
                <w:szCs w:val="24"/>
                <w:lang w:eastAsia="zh-CN"/>
              </w:rPr>
              <w:t>　</w:t>
            </w:r>
          </w:p>
        </w:tc>
      </w:tr>
      <w:tr w14:paraId="74F355E4">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095F764E">
            <w:pPr>
              <w:widowControl/>
              <w:autoSpaceDE/>
              <w:autoSpaceDN/>
              <w:rPr>
                <w:color w:val="000000"/>
                <w:sz w:val="21"/>
                <w:szCs w:val="21"/>
                <w:lang w:eastAsia="zh-CN"/>
              </w:rPr>
            </w:pPr>
            <w:r>
              <w:rPr>
                <w:rFonts w:hint="eastAsia"/>
                <w:color w:val="000000"/>
                <w:sz w:val="21"/>
                <w:szCs w:val="21"/>
                <w:lang w:eastAsia="zh-CN"/>
              </w:rPr>
              <w:t xml:space="preserve">氟化物排放量（吨） </w:t>
            </w:r>
          </w:p>
        </w:tc>
        <w:tc>
          <w:tcPr>
            <w:tcW w:w="2410" w:type="dxa"/>
            <w:tcBorders>
              <w:top w:val="nil"/>
              <w:left w:val="nil"/>
              <w:bottom w:val="single" w:color="auto" w:sz="4" w:space="0"/>
              <w:right w:val="nil"/>
            </w:tcBorders>
            <w:shd w:val="clear" w:color="auto" w:fill="auto"/>
            <w:noWrap/>
            <w:vAlign w:val="center"/>
          </w:tcPr>
          <w:p w14:paraId="2E4A56DE">
            <w:pPr>
              <w:widowControl/>
              <w:wordWrap w:val="0"/>
              <w:autoSpaceDE/>
              <w:autoSpaceDN/>
              <w:jc w:val="right"/>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0.185486 </w:t>
            </w:r>
          </w:p>
        </w:tc>
      </w:tr>
      <w:tr w14:paraId="3400DFF1">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36330477">
            <w:pPr>
              <w:widowControl/>
              <w:autoSpaceDE/>
              <w:autoSpaceDN/>
              <w:rPr>
                <w:color w:val="000000"/>
                <w:sz w:val="21"/>
                <w:szCs w:val="21"/>
                <w:lang w:eastAsia="zh-CN"/>
              </w:rPr>
            </w:pPr>
            <w:r>
              <w:rPr>
                <w:rFonts w:hint="eastAsia"/>
                <w:color w:val="000000"/>
                <w:sz w:val="21"/>
                <w:szCs w:val="21"/>
                <w:lang w:eastAsia="zh-CN"/>
              </w:rPr>
              <w:t xml:space="preserve">氯化氢排放量（吨）  </w:t>
            </w:r>
          </w:p>
        </w:tc>
        <w:tc>
          <w:tcPr>
            <w:tcW w:w="2410" w:type="dxa"/>
            <w:tcBorders>
              <w:top w:val="nil"/>
              <w:left w:val="nil"/>
              <w:bottom w:val="single" w:color="auto" w:sz="4" w:space="0"/>
              <w:right w:val="nil"/>
            </w:tcBorders>
            <w:shd w:val="clear" w:color="auto" w:fill="auto"/>
            <w:noWrap/>
            <w:vAlign w:val="center"/>
          </w:tcPr>
          <w:p w14:paraId="5E3F0DCA">
            <w:pPr>
              <w:widowControl/>
              <w:wordWrap w:val="0"/>
              <w:autoSpaceDE/>
              <w:autoSpaceDN/>
              <w:jc w:val="right"/>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0.032813 </w:t>
            </w:r>
          </w:p>
        </w:tc>
      </w:tr>
      <w:tr w14:paraId="39CD4199">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209BE710">
            <w:pPr>
              <w:widowControl/>
              <w:autoSpaceDE/>
              <w:autoSpaceDN/>
              <w:rPr>
                <w:color w:val="000000"/>
                <w:sz w:val="21"/>
                <w:szCs w:val="21"/>
                <w:lang w:eastAsia="zh-CN"/>
              </w:rPr>
            </w:pPr>
            <w:r>
              <w:rPr>
                <w:rFonts w:hint="eastAsia"/>
                <w:color w:val="000000"/>
                <w:sz w:val="21"/>
                <w:szCs w:val="21"/>
                <w:lang w:eastAsia="zh-CN"/>
              </w:rPr>
              <w:t>非甲烷总烃排放量（吨）</w:t>
            </w:r>
          </w:p>
        </w:tc>
        <w:tc>
          <w:tcPr>
            <w:tcW w:w="2410" w:type="dxa"/>
            <w:tcBorders>
              <w:top w:val="nil"/>
              <w:left w:val="nil"/>
              <w:bottom w:val="single" w:color="auto" w:sz="4" w:space="0"/>
              <w:right w:val="nil"/>
            </w:tcBorders>
            <w:shd w:val="clear" w:color="auto" w:fill="auto"/>
            <w:noWrap/>
            <w:vAlign w:val="center"/>
          </w:tcPr>
          <w:p w14:paraId="17FC015E">
            <w:pPr>
              <w:widowControl/>
              <w:wordWrap w:val="0"/>
              <w:autoSpaceDE/>
              <w:autoSpaceDN/>
              <w:jc w:val="right"/>
              <w:rPr>
                <w:rFonts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0.154721 </w:t>
            </w:r>
          </w:p>
        </w:tc>
      </w:tr>
      <w:tr w14:paraId="368CC5B9">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125A6B3E">
            <w:pPr>
              <w:widowControl/>
              <w:autoSpaceDE/>
              <w:autoSpaceDN/>
              <w:rPr>
                <w:color w:val="000000"/>
                <w:sz w:val="21"/>
                <w:szCs w:val="21"/>
                <w:lang w:eastAsia="zh-CN"/>
              </w:rPr>
            </w:pPr>
            <w:r>
              <w:rPr>
                <w:rFonts w:hint="eastAsia"/>
                <w:color w:val="000000"/>
                <w:sz w:val="21"/>
                <w:szCs w:val="21"/>
                <w:lang w:eastAsia="zh-CN"/>
              </w:rPr>
              <w:t xml:space="preserve">废水排放量 </w:t>
            </w:r>
          </w:p>
        </w:tc>
        <w:tc>
          <w:tcPr>
            <w:tcW w:w="2410" w:type="dxa"/>
            <w:tcBorders>
              <w:top w:val="nil"/>
              <w:left w:val="nil"/>
              <w:bottom w:val="single" w:color="auto" w:sz="4" w:space="0"/>
              <w:right w:val="nil"/>
            </w:tcBorders>
            <w:shd w:val="clear" w:color="auto" w:fill="auto"/>
            <w:noWrap/>
            <w:vAlign w:val="center"/>
          </w:tcPr>
          <w:p w14:paraId="31D0E924">
            <w:pPr>
              <w:widowControl/>
              <w:autoSpaceDE/>
              <w:autoSpaceDN/>
              <w:jc w:val="right"/>
              <w:rPr>
                <w:rFonts w:ascii="宋体" w:hAnsi="宋体" w:eastAsia="宋体" w:cs="宋体"/>
                <w:color w:val="000000"/>
                <w:kern w:val="0"/>
                <w:sz w:val="21"/>
                <w:szCs w:val="21"/>
                <w:lang w:val="en-US" w:eastAsia="zh-CN" w:bidi="ar-SA"/>
              </w:rPr>
            </w:pPr>
            <w:r>
              <w:rPr>
                <w:rFonts w:hint="eastAsia"/>
                <w:color w:val="000000"/>
                <w:sz w:val="21"/>
                <w:szCs w:val="21"/>
                <w:lang w:val="en-US" w:eastAsia="zh-CN"/>
              </w:rPr>
              <w:t>109240</w:t>
            </w:r>
            <w:r>
              <w:rPr>
                <w:rFonts w:hint="eastAsia"/>
                <w:color w:val="000000"/>
                <w:sz w:val="21"/>
                <w:szCs w:val="21"/>
                <w:lang w:eastAsia="zh-CN"/>
              </w:rPr>
              <w:t>　</w:t>
            </w:r>
          </w:p>
        </w:tc>
      </w:tr>
      <w:tr w14:paraId="268C057A">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518A1429">
            <w:pPr>
              <w:widowControl/>
              <w:autoSpaceDE/>
              <w:autoSpaceDN/>
              <w:rPr>
                <w:color w:val="000000"/>
                <w:sz w:val="21"/>
                <w:szCs w:val="21"/>
                <w:lang w:eastAsia="zh-CN"/>
              </w:rPr>
            </w:pPr>
            <w:r>
              <w:rPr>
                <w:rFonts w:hint="eastAsia"/>
                <w:color w:val="000000"/>
                <w:sz w:val="21"/>
                <w:szCs w:val="21"/>
                <w:lang w:eastAsia="zh-CN"/>
              </w:rPr>
              <w:t>化学需氧量排放量（吨）</w:t>
            </w:r>
          </w:p>
        </w:tc>
        <w:tc>
          <w:tcPr>
            <w:tcW w:w="2410" w:type="dxa"/>
            <w:tcBorders>
              <w:top w:val="nil"/>
              <w:left w:val="nil"/>
              <w:bottom w:val="single" w:color="auto" w:sz="4" w:space="0"/>
              <w:right w:val="nil"/>
            </w:tcBorders>
            <w:shd w:val="clear" w:color="auto" w:fill="auto"/>
            <w:noWrap/>
            <w:vAlign w:val="center"/>
          </w:tcPr>
          <w:p w14:paraId="39344D73">
            <w:pPr>
              <w:widowControl/>
              <w:wordWrap w:val="0"/>
              <w:autoSpaceDE/>
              <w:autoSpaceDN/>
              <w:jc w:val="right"/>
              <w:rPr>
                <w:rFonts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1.813822 </w:t>
            </w:r>
          </w:p>
        </w:tc>
      </w:tr>
      <w:tr w14:paraId="6430BBF2">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64BAE4D9">
            <w:pPr>
              <w:widowControl/>
              <w:autoSpaceDE/>
              <w:autoSpaceDN/>
              <w:rPr>
                <w:color w:val="000000"/>
                <w:sz w:val="21"/>
                <w:szCs w:val="21"/>
                <w:lang w:eastAsia="zh-CN"/>
              </w:rPr>
            </w:pPr>
            <w:r>
              <w:rPr>
                <w:rFonts w:hint="eastAsia"/>
                <w:color w:val="000000"/>
                <w:sz w:val="21"/>
                <w:szCs w:val="21"/>
                <w:lang w:eastAsia="zh-CN"/>
              </w:rPr>
              <w:t>废水氨氮量（吨）</w:t>
            </w:r>
          </w:p>
        </w:tc>
        <w:tc>
          <w:tcPr>
            <w:tcW w:w="2410" w:type="dxa"/>
            <w:tcBorders>
              <w:top w:val="nil"/>
              <w:left w:val="nil"/>
              <w:bottom w:val="single" w:color="auto" w:sz="4" w:space="0"/>
              <w:right w:val="nil"/>
            </w:tcBorders>
            <w:shd w:val="clear" w:color="auto" w:fill="auto"/>
            <w:noWrap/>
            <w:vAlign w:val="center"/>
          </w:tcPr>
          <w:p w14:paraId="70EA3644">
            <w:pPr>
              <w:widowControl/>
              <w:autoSpaceDE/>
              <w:autoSpaceDN/>
              <w:jc w:val="right"/>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0.006677 </w:t>
            </w:r>
          </w:p>
        </w:tc>
      </w:tr>
      <w:tr w14:paraId="7020169C">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3CA72CD3">
            <w:pPr>
              <w:widowControl/>
              <w:autoSpaceDE/>
              <w:autoSpaceDN/>
              <w:rPr>
                <w:color w:val="000000"/>
                <w:sz w:val="21"/>
                <w:szCs w:val="21"/>
                <w:lang w:eastAsia="zh-CN"/>
              </w:rPr>
            </w:pPr>
            <w:r>
              <w:rPr>
                <w:rFonts w:hint="eastAsia"/>
                <w:color w:val="000000"/>
                <w:sz w:val="21"/>
                <w:szCs w:val="21"/>
                <w:lang w:eastAsia="zh-CN"/>
              </w:rPr>
              <w:t>总磷排放量（吨）</w:t>
            </w:r>
          </w:p>
        </w:tc>
        <w:tc>
          <w:tcPr>
            <w:tcW w:w="2410" w:type="dxa"/>
            <w:tcBorders>
              <w:top w:val="nil"/>
              <w:left w:val="nil"/>
              <w:bottom w:val="single" w:color="auto" w:sz="4" w:space="0"/>
              <w:right w:val="nil"/>
            </w:tcBorders>
            <w:shd w:val="clear" w:color="auto" w:fill="auto"/>
            <w:noWrap/>
            <w:vAlign w:val="center"/>
          </w:tcPr>
          <w:p w14:paraId="746F626E">
            <w:pPr>
              <w:widowControl/>
              <w:autoSpaceDE/>
              <w:autoSpaceDN/>
              <w:jc w:val="right"/>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0.003568 </w:t>
            </w:r>
          </w:p>
        </w:tc>
      </w:tr>
      <w:tr w14:paraId="56CFA566">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1A105A3B">
            <w:pPr>
              <w:widowControl/>
              <w:autoSpaceDE/>
              <w:autoSpaceDN/>
              <w:rPr>
                <w:color w:val="000000"/>
                <w:sz w:val="21"/>
                <w:szCs w:val="21"/>
                <w:lang w:eastAsia="zh-CN"/>
              </w:rPr>
            </w:pPr>
            <w:r>
              <w:rPr>
                <w:rFonts w:hint="eastAsia"/>
                <w:color w:val="000000"/>
                <w:sz w:val="21"/>
                <w:szCs w:val="21"/>
                <w:lang w:eastAsia="zh-CN"/>
              </w:rPr>
              <w:t>一般固体废弃物总量（吨）</w:t>
            </w:r>
          </w:p>
        </w:tc>
        <w:tc>
          <w:tcPr>
            <w:tcW w:w="2410" w:type="dxa"/>
            <w:tcBorders>
              <w:top w:val="nil"/>
              <w:left w:val="nil"/>
              <w:bottom w:val="single" w:color="auto" w:sz="4" w:space="0"/>
              <w:right w:val="nil"/>
            </w:tcBorders>
            <w:shd w:val="clear" w:color="auto" w:fill="auto"/>
            <w:noWrap/>
            <w:vAlign w:val="center"/>
          </w:tcPr>
          <w:p w14:paraId="00625125">
            <w:pPr>
              <w:widowControl/>
              <w:autoSpaceDE/>
              <w:autoSpaceDN/>
              <w:jc w:val="right"/>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1778.67 </w:t>
            </w:r>
          </w:p>
        </w:tc>
      </w:tr>
      <w:tr w14:paraId="6074D4DE">
        <w:tblPrEx>
          <w:tblCellMar>
            <w:top w:w="0" w:type="dxa"/>
            <w:left w:w="108" w:type="dxa"/>
            <w:bottom w:w="0" w:type="dxa"/>
            <w:right w:w="108" w:type="dxa"/>
          </w:tblCellMar>
        </w:tblPrEx>
        <w:trPr>
          <w:trHeight w:val="522" w:hRule="atLeast"/>
        </w:trPr>
        <w:tc>
          <w:tcPr>
            <w:tcW w:w="6369" w:type="dxa"/>
            <w:tcBorders>
              <w:top w:val="nil"/>
              <w:left w:val="nil"/>
              <w:bottom w:val="single" w:color="auto" w:sz="4" w:space="0"/>
              <w:right w:val="single" w:color="auto" w:sz="4" w:space="0"/>
            </w:tcBorders>
            <w:shd w:val="clear" w:color="auto" w:fill="auto"/>
            <w:noWrap/>
            <w:vAlign w:val="center"/>
          </w:tcPr>
          <w:p w14:paraId="7709134B">
            <w:pPr>
              <w:widowControl/>
              <w:autoSpaceDE/>
              <w:autoSpaceDN/>
              <w:rPr>
                <w:color w:val="000000"/>
                <w:sz w:val="21"/>
                <w:szCs w:val="21"/>
                <w:lang w:eastAsia="zh-CN"/>
              </w:rPr>
            </w:pPr>
            <w:r>
              <w:rPr>
                <w:rFonts w:hint="eastAsia"/>
                <w:color w:val="000000"/>
                <w:sz w:val="21"/>
                <w:szCs w:val="21"/>
                <w:lang w:eastAsia="zh-CN"/>
              </w:rPr>
              <w:t>危险废弃物总量（吨）</w:t>
            </w:r>
          </w:p>
        </w:tc>
        <w:tc>
          <w:tcPr>
            <w:tcW w:w="2410" w:type="dxa"/>
            <w:tcBorders>
              <w:top w:val="nil"/>
              <w:left w:val="nil"/>
              <w:bottom w:val="single" w:color="auto" w:sz="4" w:space="0"/>
              <w:right w:val="nil"/>
            </w:tcBorders>
            <w:shd w:val="clear" w:color="auto" w:fill="auto"/>
            <w:noWrap/>
            <w:vAlign w:val="center"/>
          </w:tcPr>
          <w:p w14:paraId="32361949">
            <w:pPr>
              <w:widowControl/>
              <w:wordWrap w:val="0"/>
              <w:autoSpaceDE/>
              <w:autoSpaceDN/>
              <w:jc w:val="right"/>
              <w:rPr>
                <w:rFonts w:hint="default" w:ascii="宋体" w:hAnsi="宋体" w:eastAsia="宋体" w:cs="宋体"/>
                <w:color w:val="000000"/>
                <w:kern w:val="0"/>
                <w:sz w:val="21"/>
                <w:szCs w:val="21"/>
                <w:lang w:val="en-US" w:eastAsia="zh-CN" w:bidi="ar-SA"/>
              </w:rPr>
            </w:pPr>
            <w:r>
              <w:rPr>
                <w:rFonts w:hint="eastAsia"/>
                <w:color w:val="000000"/>
                <w:sz w:val="21"/>
                <w:szCs w:val="21"/>
                <w:lang w:val="en-US" w:eastAsia="zh-CN"/>
              </w:rPr>
              <w:t xml:space="preserve">产生267.862，处置265.196 </w:t>
            </w:r>
          </w:p>
        </w:tc>
      </w:tr>
    </w:tbl>
    <w:p w14:paraId="5A1021E4">
      <w:pPr>
        <w:rPr>
          <w:lang w:eastAsia="zh-CN"/>
        </w:rPr>
      </w:pPr>
    </w:p>
    <w:p w14:paraId="03DAC903">
      <w:pPr>
        <w:pStyle w:val="3"/>
        <w:keepNext w:val="0"/>
        <w:keepLines w:val="0"/>
        <w:spacing w:before="0" w:after="0" w:line="240" w:lineRule="auto"/>
        <w:ind w:left="1274" w:leftChars="579" w:firstLine="280" w:firstLineChars="100"/>
        <w:rPr>
          <w:rFonts w:ascii="Microsoft YaHei UI" w:hAnsi="Microsoft YaHei UI" w:eastAsia="Microsoft YaHei UI" w:cs="Microsoft YaHei UI"/>
          <w:color w:val="399999"/>
          <w:sz w:val="28"/>
          <w:szCs w:val="28"/>
          <w:lang w:eastAsia="zh-CN"/>
        </w:rPr>
      </w:pPr>
      <w:bookmarkStart w:id="58" w:name="_Toc152057918"/>
      <w:r>
        <w:rPr>
          <w:rFonts w:hint="eastAsia" w:ascii="Microsoft YaHei UI" w:hAnsi="Microsoft YaHei UI" w:eastAsia="Microsoft YaHei UI" w:cs="Microsoft YaHei UI"/>
          <w:color w:val="399999"/>
          <w:sz w:val="28"/>
          <w:szCs w:val="28"/>
          <w:lang w:eastAsia="zh-CN"/>
        </w:rPr>
        <w:t>社会</w:t>
      </w:r>
      <w:bookmarkEnd w:id="58"/>
    </w:p>
    <w:tbl>
      <w:tblPr>
        <w:tblStyle w:val="10"/>
        <w:tblW w:w="8788" w:type="dxa"/>
        <w:tblInd w:w="1560" w:type="dxa"/>
        <w:tblLayout w:type="autofit"/>
        <w:tblCellMar>
          <w:top w:w="0" w:type="dxa"/>
          <w:left w:w="108" w:type="dxa"/>
          <w:bottom w:w="0" w:type="dxa"/>
          <w:right w:w="108" w:type="dxa"/>
        </w:tblCellMar>
      </w:tblPr>
      <w:tblGrid>
        <w:gridCol w:w="6378"/>
        <w:gridCol w:w="2410"/>
      </w:tblGrid>
      <w:tr w14:paraId="0CD93122">
        <w:tblPrEx>
          <w:tblCellMar>
            <w:top w:w="0" w:type="dxa"/>
            <w:left w:w="108" w:type="dxa"/>
            <w:bottom w:w="0" w:type="dxa"/>
            <w:right w:w="108" w:type="dxa"/>
          </w:tblCellMar>
        </w:tblPrEx>
        <w:trPr>
          <w:trHeight w:val="522" w:hRule="atLeast"/>
        </w:trPr>
        <w:tc>
          <w:tcPr>
            <w:tcW w:w="6378" w:type="dxa"/>
            <w:tcBorders>
              <w:top w:val="single" w:color="auto" w:sz="4" w:space="0"/>
              <w:left w:val="nil"/>
              <w:bottom w:val="single" w:color="auto" w:sz="4" w:space="0"/>
              <w:right w:val="single" w:color="auto" w:sz="4" w:space="0"/>
            </w:tcBorders>
            <w:shd w:val="clear" w:color="000000" w:fill="C5DFB3"/>
            <w:vAlign w:val="center"/>
          </w:tcPr>
          <w:p w14:paraId="238C9B10">
            <w:pPr>
              <w:widowControl/>
              <w:autoSpaceDE/>
              <w:autoSpaceDN/>
              <w:rPr>
                <w:color w:val="000000"/>
                <w:sz w:val="21"/>
                <w:szCs w:val="21"/>
                <w:lang w:eastAsia="zh-CN"/>
              </w:rPr>
            </w:pPr>
            <w:r>
              <w:rPr>
                <w:rFonts w:hint="eastAsia"/>
                <w:color w:val="000000"/>
                <w:sz w:val="21"/>
                <w:szCs w:val="21"/>
                <w:lang w:eastAsia="zh-CN"/>
              </w:rPr>
              <w:t>指标名称（单位）</w:t>
            </w:r>
          </w:p>
        </w:tc>
        <w:tc>
          <w:tcPr>
            <w:tcW w:w="2410" w:type="dxa"/>
            <w:tcBorders>
              <w:top w:val="single" w:color="auto" w:sz="4" w:space="0"/>
              <w:left w:val="nil"/>
              <w:bottom w:val="single" w:color="auto" w:sz="4" w:space="0"/>
              <w:right w:val="nil"/>
            </w:tcBorders>
            <w:shd w:val="clear" w:color="000000" w:fill="C5DFB3"/>
            <w:vAlign w:val="center"/>
          </w:tcPr>
          <w:p w14:paraId="64257A7E">
            <w:pPr>
              <w:widowControl/>
              <w:autoSpaceDE/>
              <w:autoSpaceDN/>
              <w:jc w:val="right"/>
              <w:rPr>
                <w:color w:val="000000"/>
                <w:sz w:val="21"/>
                <w:szCs w:val="21"/>
                <w:lang w:eastAsia="zh-CN"/>
              </w:rPr>
            </w:pPr>
            <w:r>
              <w:rPr>
                <w:rFonts w:hint="eastAsia"/>
                <w:color w:val="000000"/>
                <w:sz w:val="21"/>
                <w:szCs w:val="21"/>
                <w:lang w:eastAsia="zh-CN"/>
              </w:rPr>
              <w:t>2023 年</w:t>
            </w:r>
          </w:p>
        </w:tc>
      </w:tr>
      <w:tr w14:paraId="58C0A7C7">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000000" w:fill="E1EEDA"/>
            <w:vAlign w:val="center"/>
          </w:tcPr>
          <w:p w14:paraId="033E9469">
            <w:pPr>
              <w:widowControl/>
              <w:autoSpaceDE/>
              <w:autoSpaceDN/>
              <w:rPr>
                <w:color w:val="000000"/>
                <w:sz w:val="21"/>
                <w:szCs w:val="21"/>
                <w:lang w:eastAsia="zh-CN"/>
              </w:rPr>
            </w:pPr>
            <w:r>
              <w:rPr>
                <w:rFonts w:hint="eastAsia"/>
                <w:color w:val="000000"/>
                <w:sz w:val="21"/>
                <w:szCs w:val="21"/>
                <w:lang w:eastAsia="zh-CN"/>
              </w:rPr>
              <w:t>员工雇佣</w:t>
            </w:r>
          </w:p>
        </w:tc>
        <w:tc>
          <w:tcPr>
            <w:tcW w:w="2410" w:type="dxa"/>
            <w:tcBorders>
              <w:top w:val="nil"/>
              <w:left w:val="nil"/>
              <w:bottom w:val="single" w:color="auto" w:sz="4" w:space="0"/>
              <w:right w:val="nil"/>
            </w:tcBorders>
            <w:shd w:val="clear" w:color="000000" w:fill="E1EEDA"/>
            <w:vAlign w:val="center"/>
          </w:tcPr>
          <w:p w14:paraId="12D03652">
            <w:pPr>
              <w:widowControl/>
              <w:autoSpaceDE/>
              <w:autoSpaceDN/>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w:t>
            </w:r>
          </w:p>
        </w:tc>
      </w:tr>
      <w:tr w14:paraId="1982B24D">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71F172C7">
            <w:pPr>
              <w:widowControl/>
              <w:autoSpaceDE/>
              <w:autoSpaceDN/>
              <w:rPr>
                <w:color w:val="000000"/>
                <w:sz w:val="21"/>
                <w:szCs w:val="21"/>
                <w:lang w:eastAsia="zh-CN"/>
              </w:rPr>
            </w:pPr>
            <w:r>
              <w:rPr>
                <w:rFonts w:hint="eastAsia"/>
                <w:color w:val="000000"/>
                <w:sz w:val="21"/>
                <w:szCs w:val="21"/>
                <w:lang w:eastAsia="zh-CN"/>
              </w:rPr>
              <w:t>员工总数（人）</w:t>
            </w:r>
          </w:p>
        </w:tc>
        <w:tc>
          <w:tcPr>
            <w:tcW w:w="2410" w:type="dxa"/>
            <w:tcBorders>
              <w:top w:val="nil"/>
              <w:left w:val="nil"/>
              <w:bottom w:val="single" w:color="auto" w:sz="4" w:space="0"/>
              <w:right w:val="nil"/>
            </w:tcBorders>
            <w:shd w:val="clear" w:color="auto" w:fill="auto"/>
            <w:vAlign w:val="center"/>
          </w:tcPr>
          <w:p w14:paraId="56CD354D">
            <w:pPr>
              <w:widowControl/>
              <w:autoSpaceDE/>
              <w:autoSpaceDN/>
              <w:jc w:val="right"/>
              <w:rPr>
                <w:rFonts w:hint="default"/>
                <w:color w:val="000000"/>
                <w:sz w:val="21"/>
                <w:szCs w:val="21"/>
                <w:lang w:val="en-US" w:eastAsia="zh-CN"/>
              </w:rPr>
            </w:pPr>
            <w:r>
              <w:rPr>
                <w:rFonts w:hint="eastAsia"/>
                <w:color w:val="000000"/>
                <w:sz w:val="21"/>
                <w:szCs w:val="21"/>
                <w:lang w:val="en-US" w:eastAsia="zh-CN"/>
              </w:rPr>
              <w:t xml:space="preserve">287 </w:t>
            </w:r>
          </w:p>
        </w:tc>
      </w:tr>
      <w:tr w14:paraId="4F955829">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45FEF9F5">
            <w:pPr>
              <w:widowControl/>
              <w:autoSpaceDE/>
              <w:autoSpaceDN/>
              <w:ind w:firstLine="210" w:firstLineChars="100"/>
              <w:rPr>
                <w:color w:val="000000"/>
                <w:sz w:val="21"/>
                <w:szCs w:val="21"/>
                <w:lang w:eastAsia="zh-CN"/>
              </w:rPr>
            </w:pPr>
            <w:r>
              <w:rPr>
                <w:rFonts w:hint="eastAsia"/>
                <w:color w:val="000000"/>
                <w:sz w:val="21"/>
                <w:szCs w:val="21"/>
                <w:lang w:eastAsia="zh-CN"/>
              </w:rPr>
              <w:t>女性员工总数（人）</w:t>
            </w:r>
          </w:p>
        </w:tc>
        <w:tc>
          <w:tcPr>
            <w:tcW w:w="2410" w:type="dxa"/>
            <w:tcBorders>
              <w:top w:val="nil"/>
              <w:left w:val="nil"/>
              <w:bottom w:val="single" w:color="auto" w:sz="4" w:space="0"/>
              <w:right w:val="nil"/>
            </w:tcBorders>
            <w:shd w:val="clear" w:color="auto" w:fill="auto"/>
            <w:vAlign w:val="center"/>
          </w:tcPr>
          <w:p w14:paraId="61C7F881">
            <w:pPr>
              <w:widowControl/>
              <w:autoSpaceDE/>
              <w:autoSpaceDN/>
              <w:jc w:val="right"/>
              <w:rPr>
                <w:rFonts w:hint="default"/>
                <w:color w:val="000000"/>
                <w:sz w:val="21"/>
                <w:szCs w:val="21"/>
                <w:lang w:val="en-US" w:eastAsia="zh-CN"/>
              </w:rPr>
            </w:pPr>
            <w:r>
              <w:rPr>
                <w:rFonts w:hint="eastAsia"/>
                <w:color w:val="000000"/>
                <w:sz w:val="21"/>
                <w:szCs w:val="21"/>
                <w:lang w:val="en-US" w:eastAsia="zh-CN"/>
              </w:rPr>
              <w:t xml:space="preserve">55 </w:t>
            </w:r>
          </w:p>
        </w:tc>
      </w:tr>
      <w:tr w14:paraId="3A253C5C">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2F63FAEE">
            <w:pPr>
              <w:widowControl/>
              <w:autoSpaceDE/>
              <w:autoSpaceDN/>
              <w:ind w:firstLine="210" w:firstLineChars="100"/>
              <w:rPr>
                <w:color w:val="000000"/>
                <w:sz w:val="21"/>
                <w:szCs w:val="21"/>
                <w:lang w:eastAsia="zh-CN"/>
              </w:rPr>
            </w:pPr>
            <w:r>
              <w:rPr>
                <w:rFonts w:hint="eastAsia"/>
                <w:color w:val="000000"/>
                <w:sz w:val="21"/>
                <w:szCs w:val="21"/>
                <w:lang w:eastAsia="zh-CN"/>
              </w:rPr>
              <w:t>男性员工总数（人）</w:t>
            </w:r>
          </w:p>
        </w:tc>
        <w:tc>
          <w:tcPr>
            <w:tcW w:w="2410" w:type="dxa"/>
            <w:tcBorders>
              <w:top w:val="nil"/>
              <w:left w:val="nil"/>
              <w:bottom w:val="single" w:color="auto" w:sz="4" w:space="0"/>
              <w:right w:val="nil"/>
            </w:tcBorders>
            <w:shd w:val="clear" w:color="auto" w:fill="auto"/>
            <w:vAlign w:val="center"/>
          </w:tcPr>
          <w:p w14:paraId="299E54BA">
            <w:pPr>
              <w:widowControl/>
              <w:autoSpaceDE/>
              <w:autoSpaceDN/>
              <w:jc w:val="right"/>
              <w:rPr>
                <w:rFonts w:hint="default"/>
                <w:color w:val="000000"/>
                <w:sz w:val="21"/>
                <w:szCs w:val="21"/>
                <w:lang w:val="en-US" w:eastAsia="zh-CN"/>
              </w:rPr>
            </w:pPr>
            <w:r>
              <w:rPr>
                <w:rFonts w:hint="eastAsia"/>
                <w:color w:val="000000"/>
                <w:sz w:val="21"/>
                <w:szCs w:val="21"/>
                <w:lang w:val="en-US" w:eastAsia="zh-CN"/>
              </w:rPr>
              <w:t xml:space="preserve">232 </w:t>
            </w:r>
          </w:p>
        </w:tc>
      </w:tr>
      <w:tr w14:paraId="6C4013CF">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418978A1">
            <w:pPr>
              <w:widowControl/>
              <w:autoSpaceDE/>
              <w:autoSpaceDN/>
              <w:rPr>
                <w:color w:val="000000"/>
                <w:sz w:val="21"/>
                <w:szCs w:val="21"/>
                <w:lang w:eastAsia="zh-CN"/>
              </w:rPr>
            </w:pPr>
            <w:r>
              <w:rPr>
                <w:rFonts w:hint="eastAsia"/>
                <w:color w:val="000000"/>
                <w:sz w:val="21"/>
                <w:szCs w:val="21"/>
                <w:lang w:eastAsia="zh-CN"/>
              </w:rPr>
              <w:t>员工学历构成（本科及大专）（人）</w:t>
            </w:r>
          </w:p>
        </w:tc>
        <w:tc>
          <w:tcPr>
            <w:tcW w:w="2410" w:type="dxa"/>
            <w:tcBorders>
              <w:top w:val="nil"/>
              <w:left w:val="nil"/>
              <w:bottom w:val="single" w:color="auto" w:sz="4" w:space="0"/>
              <w:right w:val="nil"/>
            </w:tcBorders>
            <w:shd w:val="clear" w:color="auto" w:fill="auto"/>
            <w:vAlign w:val="center"/>
          </w:tcPr>
          <w:p w14:paraId="51E57ED8">
            <w:pPr>
              <w:widowControl/>
              <w:wordWrap w:val="0"/>
              <w:autoSpaceDE/>
              <w:autoSpaceDN/>
              <w:jc w:val="right"/>
              <w:rPr>
                <w:color w:val="000000"/>
                <w:sz w:val="21"/>
                <w:szCs w:val="21"/>
                <w:lang w:eastAsia="zh-CN"/>
              </w:rPr>
            </w:pPr>
            <w:r>
              <w:rPr>
                <w:rFonts w:hint="eastAsia"/>
                <w:color w:val="000000"/>
                <w:sz w:val="21"/>
                <w:szCs w:val="21"/>
                <w:lang w:val="en-US" w:eastAsia="zh-CN"/>
              </w:rPr>
              <w:t xml:space="preserve">92 </w:t>
            </w:r>
          </w:p>
        </w:tc>
      </w:tr>
      <w:tr w14:paraId="73C8B548">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7144E940">
            <w:pPr>
              <w:widowControl/>
              <w:autoSpaceDE/>
              <w:autoSpaceDN/>
              <w:rPr>
                <w:color w:val="000000"/>
                <w:sz w:val="21"/>
                <w:szCs w:val="21"/>
                <w:lang w:eastAsia="zh-CN"/>
              </w:rPr>
            </w:pPr>
            <w:r>
              <w:rPr>
                <w:rFonts w:hint="eastAsia"/>
                <w:color w:val="000000"/>
                <w:sz w:val="21"/>
                <w:szCs w:val="21"/>
                <w:lang w:eastAsia="zh-CN"/>
              </w:rPr>
              <w:t>员工学历构成（中专、高中及以下）（人）</w:t>
            </w:r>
          </w:p>
        </w:tc>
        <w:tc>
          <w:tcPr>
            <w:tcW w:w="2410" w:type="dxa"/>
            <w:tcBorders>
              <w:top w:val="nil"/>
              <w:left w:val="nil"/>
              <w:bottom w:val="single" w:color="auto" w:sz="4" w:space="0"/>
              <w:right w:val="nil"/>
            </w:tcBorders>
            <w:shd w:val="clear" w:color="auto" w:fill="auto"/>
            <w:vAlign w:val="center"/>
          </w:tcPr>
          <w:p w14:paraId="7BB54298">
            <w:pPr>
              <w:widowControl/>
              <w:wordWrap w:val="0"/>
              <w:autoSpaceDE/>
              <w:autoSpaceDN/>
              <w:jc w:val="right"/>
              <w:rPr>
                <w:color w:val="000000"/>
                <w:sz w:val="21"/>
                <w:szCs w:val="21"/>
                <w:lang w:eastAsia="zh-CN"/>
              </w:rPr>
            </w:pPr>
            <w:r>
              <w:rPr>
                <w:rFonts w:hint="eastAsia"/>
                <w:color w:val="000000"/>
                <w:sz w:val="21"/>
                <w:szCs w:val="21"/>
                <w:lang w:val="en-US" w:eastAsia="zh-CN"/>
              </w:rPr>
              <w:t xml:space="preserve">195 </w:t>
            </w:r>
          </w:p>
        </w:tc>
      </w:tr>
      <w:tr w14:paraId="4437EBB3">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75DF72EE">
            <w:pPr>
              <w:widowControl/>
              <w:autoSpaceDE/>
              <w:autoSpaceDN/>
              <w:rPr>
                <w:color w:val="000000"/>
                <w:sz w:val="21"/>
                <w:szCs w:val="21"/>
                <w:lang w:eastAsia="zh-CN"/>
              </w:rPr>
            </w:pPr>
            <w:r>
              <w:rPr>
                <w:rFonts w:hint="eastAsia"/>
                <w:color w:val="000000"/>
                <w:sz w:val="21"/>
                <w:szCs w:val="21"/>
                <w:lang w:eastAsia="zh-CN"/>
              </w:rPr>
              <w:t>员工人均培训时长（小时）</w:t>
            </w:r>
          </w:p>
        </w:tc>
        <w:tc>
          <w:tcPr>
            <w:tcW w:w="2410" w:type="dxa"/>
            <w:tcBorders>
              <w:top w:val="nil"/>
              <w:left w:val="nil"/>
              <w:bottom w:val="single" w:color="auto" w:sz="4" w:space="0"/>
              <w:right w:val="nil"/>
            </w:tcBorders>
            <w:shd w:val="clear" w:color="auto" w:fill="auto"/>
            <w:vAlign w:val="center"/>
          </w:tcPr>
          <w:p w14:paraId="18490455">
            <w:pPr>
              <w:widowControl/>
              <w:autoSpaceDE/>
              <w:autoSpaceDN/>
              <w:jc w:val="right"/>
              <w:rPr>
                <w:rFonts w:hint="default"/>
                <w:color w:val="000000"/>
                <w:sz w:val="21"/>
                <w:szCs w:val="21"/>
                <w:lang w:val="en-US" w:eastAsia="zh-CN"/>
              </w:rPr>
            </w:pPr>
            <w:r>
              <w:rPr>
                <w:rFonts w:hint="eastAsia"/>
                <w:color w:val="000000"/>
                <w:sz w:val="21"/>
                <w:szCs w:val="21"/>
                <w:lang w:val="en-US" w:eastAsia="zh-CN"/>
              </w:rPr>
              <w:t>72</w:t>
            </w:r>
          </w:p>
        </w:tc>
      </w:tr>
      <w:tr w14:paraId="13E37D40">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3059FC0F">
            <w:pPr>
              <w:widowControl/>
              <w:autoSpaceDE/>
              <w:autoSpaceDN/>
              <w:rPr>
                <w:color w:val="000000"/>
                <w:sz w:val="21"/>
                <w:szCs w:val="21"/>
                <w:lang w:eastAsia="zh-CN"/>
              </w:rPr>
            </w:pPr>
            <w:r>
              <w:rPr>
                <w:rFonts w:hint="eastAsia"/>
                <w:color w:val="000000"/>
                <w:sz w:val="21"/>
                <w:szCs w:val="21"/>
                <w:lang w:eastAsia="zh-CN"/>
              </w:rPr>
              <w:t>参加培训总人次（人次）</w:t>
            </w:r>
          </w:p>
        </w:tc>
        <w:tc>
          <w:tcPr>
            <w:tcW w:w="2410" w:type="dxa"/>
            <w:tcBorders>
              <w:top w:val="nil"/>
              <w:left w:val="nil"/>
              <w:bottom w:val="single" w:color="auto" w:sz="4" w:space="0"/>
              <w:right w:val="nil"/>
            </w:tcBorders>
            <w:shd w:val="clear" w:color="auto" w:fill="auto"/>
            <w:vAlign w:val="center"/>
          </w:tcPr>
          <w:p w14:paraId="0727909D">
            <w:pPr>
              <w:widowControl/>
              <w:autoSpaceDE/>
              <w:autoSpaceDN/>
              <w:jc w:val="right"/>
              <w:rPr>
                <w:rFonts w:hint="default"/>
                <w:color w:val="000000"/>
                <w:sz w:val="21"/>
                <w:szCs w:val="21"/>
                <w:lang w:val="en-US" w:eastAsia="zh-CN"/>
              </w:rPr>
            </w:pPr>
            <w:r>
              <w:rPr>
                <w:rFonts w:hint="eastAsia"/>
                <w:color w:val="000000"/>
                <w:sz w:val="21"/>
                <w:szCs w:val="21"/>
                <w:lang w:val="en-US" w:eastAsia="zh-CN"/>
              </w:rPr>
              <w:t xml:space="preserve">287  </w:t>
            </w:r>
          </w:p>
        </w:tc>
      </w:tr>
      <w:tr w14:paraId="040AD446">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1948CC28">
            <w:pPr>
              <w:widowControl/>
              <w:autoSpaceDE/>
              <w:autoSpaceDN/>
              <w:rPr>
                <w:color w:val="000000"/>
                <w:sz w:val="21"/>
                <w:szCs w:val="21"/>
                <w:lang w:eastAsia="zh-CN"/>
              </w:rPr>
            </w:pPr>
            <w:r>
              <w:rPr>
                <w:rFonts w:hint="eastAsia"/>
                <w:color w:val="000000"/>
                <w:sz w:val="21"/>
                <w:szCs w:val="21"/>
                <w:lang w:eastAsia="zh-CN"/>
              </w:rPr>
              <w:t>劳动合同签订率（%）</w:t>
            </w:r>
          </w:p>
        </w:tc>
        <w:tc>
          <w:tcPr>
            <w:tcW w:w="2410" w:type="dxa"/>
            <w:tcBorders>
              <w:top w:val="nil"/>
              <w:left w:val="nil"/>
              <w:bottom w:val="single" w:color="auto" w:sz="4" w:space="0"/>
              <w:right w:val="nil"/>
            </w:tcBorders>
            <w:shd w:val="clear" w:color="auto" w:fill="auto"/>
            <w:vAlign w:val="center"/>
          </w:tcPr>
          <w:p w14:paraId="18CCCE16">
            <w:pPr>
              <w:widowControl/>
              <w:autoSpaceDE/>
              <w:autoSpaceDN/>
              <w:jc w:val="right"/>
              <w:rPr>
                <w:color w:val="000000"/>
                <w:sz w:val="21"/>
                <w:szCs w:val="21"/>
                <w:lang w:eastAsia="zh-CN"/>
              </w:rPr>
            </w:pPr>
            <w:r>
              <w:rPr>
                <w:rFonts w:hint="eastAsia"/>
                <w:color w:val="000000"/>
                <w:sz w:val="21"/>
                <w:szCs w:val="21"/>
                <w:lang w:eastAsia="zh-CN"/>
              </w:rPr>
              <w:t>100</w:t>
            </w:r>
          </w:p>
        </w:tc>
      </w:tr>
      <w:tr w14:paraId="3E4C23B3">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2E7E3056">
            <w:pPr>
              <w:widowControl/>
              <w:autoSpaceDE/>
              <w:autoSpaceDN/>
              <w:rPr>
                <w:color w:val="000000"/>
                <w:sz w:val="21"/>
                <w:szCs w:val="21"/>
                <w:lang w:eastAsia="zh-CN"/>
              </w:rPr>
            </w:pPr>
            <w:r>
              <w:rPr>
                <w:rFonts w:hint="eastAsia"/>
                <w:color w:val="000000"/>
                <w:sz w:val="21"/>
                <w:szCs w:val="21"/>
                <w:lang w:eastAsia="zh-CN"/>
              </w:rPr>
              <w:t>社会保险覆盖率（%）</w:t>
            </w:r>
          </w:p>
        </w:tc>
        <w:tc>
          <w:tcPr>
            <w:tcW w:w="2410" w:type="dxa"/>
            <w:tcBorders>
              <w:top w:val="nil"/>
              <w:left w:val="nil"/>
              <w:bottom w:val="single" w:color="auto" w:sz="4" w:space="0"/>
              <w:right w:val="nil"/>
            </w:tcBorders>
            <w:shd w:val="clear" w:color="auto" w:fill="auto"/>
            <w:vAlign w:val="center"/>
          </w:tcPr>
          <w:p w14:paraId="3A1121D8">
            <w:pPr>
              <w:widowControl/>
              <w:autoSpaceDE/>
              <w:autoSpaceDN/>
              <w:jc w:val="right"/>
              <w:rPr>
                <w:color w:val="000000"/>
                <w:sz w:val="21"/>
                <w:szCs w:val="21"/>
                <w:lang w:eastAsia="zh-CN"/>
              </w:rPr>
            </w:pPr>
            <w:r>
              <w:rPr>
                <w:rFonts w:hint="eastAsia"/>
                <w:color w:val="000000"/>
                <w:sz w:val="21"/>
                <w:szCs w:val="21"/>
                <w:lang w:eastAsia="zh-CN"/>
              </w:rPr>
              <w:t>100</w:t>
            </w:r>
          </w:p>
        </w:tc>
      </w:tr>
      <w:tr w14:paraId="345F5E7E">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000000" w:fill="E1EEDA"/>
            <w:vAlign w:val="center"/>
          </w:tcPr>
          <w:p w14:paraId="0A0267C4">
            <w:pPr>
              <w:widowControl/>
              <w:autoSpaceDE/>
              <w:autoSpaceDN/>
              <w:rPr>
                <w:color w:val="000000"/>
                <w:sz w:val="21"/>
                <w:szCs w:val="21"/>
                <w:lang w:eastAsia="zh-CN"/>
              </w:rPr>
            </w:pPr>
            <w:bookmarkStart w:id="59" w:name="RANGE!E13"/>
            <w:r>
              <w:rPr>
                <w:rFonts w:hint="eastAsia"/>
                <w:color w:val="000000"/>
                <w:sz w:val="21"/>
                <w:szCs w:val="21"/>
                <w:lang w:eastAsia="zh-CN"/>
              </w:rPr>
              <w:t>职业健康与安全生产</w:t>
            </w:r>
            <w:bookmarkEnd w:id="59"/>
          </w:p>
        </w:tc>
        <w:tc>
          <w:tcPr>
            <w:tcW w:w="2410" w:type="dxa"/>
            <w:tcBorders>
              <w:top w:val="nil"/>
              <w:left w:val="nil"/>
              <w:bottom w:val="single" w:color="auto" w:sz="4" w:space="0"/>
              <w:right w:val="nil"/>
            </w:tcBorders>
            <w:shd w:val="clear" w:color="000000" w:fill="E1EEDA"/>
            <w:vAlign w:val="center"/>
          </w:tcPr>
          <w:p w14:paraId="19538699">
            <w:pPr>
              <w:widowControl/>
              <w:autoSpaceDE/>
              <w:autoSpaceDN/>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w:t>
            </w:r>
          </w:p>
        </w:tc>
      </w:tr>
      <w:tr w14:paraId="569308A9">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49B8E97B">
            <w:pPr>
              <w:widowControl/>
              <w:autoSpaceDE/>
              <w:autoSpaceDN/>
              <w:rPr>
                <w:color w:val="000000"/>
                <w:sz w:val="21"/>
                <w:szCs w:val="21"/>
                <w:lang w:eastAsia="zh-CN"/>
              </w:rPr>
            </w:pPr>
            <w:r>
              <w:rPr>
                <w:rFonts w:hint="eastAsia"/>
                <w:color w:val="000000"/>
                <w:sz w:val="21"/>
                <w:szCs w:val="21"/>
                <w:lang w:eastAsia="zh-CN"/>
              </w:rPr>
              <w:t>员工职业健康检查率（%）</w:t>
            </w:r>
          </w:p>
        </w:tc>
        <w:tc>
          <w:tcPr>
            <w:tcW w:w="2410" w:type="dxa"/>
            <w:tcBorders>
              <w:top w:val="nil"/>
              <w:left w:val="nil"/>
              <w:bottom w:val="single" w:color="auto" w:sz="4" w:space="0"/>
              <w:right w:val="nil"/>
            </w:tcBorders>
            <w:shd w:val="clear" w:color="auto" w:fill="auto"/>
            <w:vAlign w:val="center"/>
          </w:tcPr>
          <w:p w14:paraId="55E1E820">
            <w:pPr>
              <w:widowControl/>
              <w:autoSpaceDE/>
              <w:autoSpaceDN/>
              <w:jc w:val="right"/>
              <w:rPr>
                <w:color w:val="000000"/>
                <w:sz w:val="21"/>
                <w:szCs w:val="21"/>
                <w:lang w:eastAsia="zh-CN"/>
              </w:rPr>
            </w:pPr>
            <w:r>
              <w:rPr>
                <w:rFonts w:hint="eastAsia"/>
                <w:color w:val="000000"/>
                <w:sz w:val="21"/>
                <w:szCs w:val="21"/>
                <w:lang w:eastAsia="zh-CN"/>
              </w:rPr>
              <w:t>100</w:t>
            </w:r>
          </w:p>
        </w:tc>
      </w:tr>
      <w:tr w14:paraId="4ADB9087">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61C030F5">
            <w:pPr>
              <w:widowControl/>
              <w:autoSpaceDE/>
              <w:autoSpaceDN/>
              <w:rPr>
                <w:color w:val="000000"/>
                <w:sz w:val="21"/>
                <w:szCs w:val="21"/>
                <w:lang w:eastAsia="zh-CN"/>
              </w:rPr>
            </w:pPr>
            <w:r>
              <w:rPr>
                <w:rFonts w:hint="eastAsia"/>
                <w:color w:val="000000"/>
                <w:sz w:val="21"/>
                <w:szCs w:val="21"/>
                <w:lang w:eastAsia="zh-CN"/>
              </w:rPr>
              <w:t>体检及健康档案覆盖率（%）</w:t>
            </w:r>
          </w:p>
        </w:tc>
        <w:tc>
          <w:tcPr>
            <w:tcW w:w="2410" w:type="dxa"/>
            <w:tcBorders>
              <w:top w:val="nil"/>
              <w:left w:val="nil"/>
              <w:bottom w:val="single" w:color="auto" w:sz="4" w:space="0"/>
              <w:right w:val="nil"/>
            </w:tcBorders>
            <w:shd w:val="clear" w:color="auto" w:fill="auto"/>
            <w:vAlign w:val="center"/>
          </w:tcPr>
          <w:p w14:paraId="2523009F">
            <w:pPr>
              <w:widowControl/>
              <w:autoSpaceDE/>
              <w:autoSpaceDN/>
              <w:jc w:val="right"/>
              <w:rPr>
                <w:color w:val="000000"/>
                <w:sz w:val="21"/>
                <w:szCs w:val="21"/>
                <w:lang w:eastAsia="zh-CN"/>
              </w:rPr>
            </w:pPr>
            <w:r>
              <w:rPr>
                <w:rFonts w:hint="eastAsia"/>
                <w:color w:val="000000"/>
                <w:sz w:val="21"/>
                <w:szCs w:val="21"/>
                <w:lang w:eastAsia="zh-CN"/>
              </w:rPr>
              <w:t>100</w:t>
            </w:r>
          </w:p>
        </w:tc>
      </w:tr>
      <w:tr w14:paraId="3A5C60EF">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644470CB">
            <w:pPr>
              <w:widowControl/>
              <w:autoSpaceDE/>
              <w:autoSpaceDN/>
              <w:rPr>
                <w:color w:val="000000"/>
                <w:sz w:val="21"/>
                <w:szCs w:val="21"/>
                <w:lang w:eastAsia="zh-CN"/>
              </w:rPr>
            </w:pPr>
            <w:r>
              <w:rPr>
                <w:rFonts w:hint="eastAsia"/>
                <w:color w:val="000000"/>
                <w:sz w:val="21"/>
                <w:szCs w:val="21"/>
                <w:lang w:eastAsia="zh-CN"/>
              </w:rPr>
              <w:t>安全培训覆盖率（%）</w:t>
            </w:r>
          </w:p>
        </w:tc>
        <w:tc>
          <w:tcPr>
            <w:tcW w:w="2410" w:type="dxa"/>
            <w:tcBorders>
              <w:top w:val="nil"/>
              <w:left w:val="nil"/>
              <w:bottom w:val="single" w:color="auto" w:sz="4" w:space="0"/>
              <w:right w:val="nil"/>
            </w:tcBorders>
            <w:shd w:val="clear" w:color="auto" w:fill="auto"/>
            <w:vAlign w:val="center"/>
          </w:tcPr>
          <w:p w14:paraId="30A80F36">
            <w:pPr>
              <w:widowControl/>
              <w:autoSpaceDE/>
              <w:autoSpaceDN/>
              <w:jc w:val="right"/>
              <w:rPr>
                <w:color w:val="000000"/>
                <w:sz w:val="21"/>
                <w:szCs w:val="21"/>
                <w:lang w:eastAsia="zh-CN"/>
              </w:rPr>
            </w:pPr>
            <w:r>
              <w:rPr>
                <w:rFonts w:hint="eastAsia"/>
                <w:color w:val="000000"/>
                <w:sz w:val="21"/>
                <w:szCs w:val="21"/>
                <w:lang w:eastAsia="zh-CN"/>
              </w:rPr>
              <w:t>100</w:t>
            </w:r>
          </w:p>
        </w:tc>
      </w:tr>
      <w:tr w14:paraId="55E2E05B">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04FF9442">
            <w:pPr>
              <w:widowControl/>
              <w:autoSpaceDE/>
              <w:autoSpaceDN/>
              <w:rPr>
                <w:color w:val="000000"/>
                <w:sz w:val="21"/>
                <w:szCs w:val="21"/>
                <w:lang w:eastAsia="zh-CN"/>
              </w:rPr>
            </w:pPr>
            <w:r>
              <w:rPr>
                <w:rFonts w:hint="eastAsia"/>
                <w:color w:val="000000"/>
                <w:sz w:val="21"/>
                <w:szCs w:val="21"/>
                <w:lang w:eastAsia="zh-CN"/>
              </w:rPr>
              <w:t>人均安全培训时长（小时）</w:t>
            </w:r>
          </w:p>
        </w:tc>
        <w:tc>
          <w:tcPr>
            <w:tcW w:w="2410" w:type="dxa"/>
            <w:tcBorders>
              <w:top w:val="nil"/>
              <w:left w:val="nil"/>
              <w:bottom w:val="single" w:color="auto" w:sz="4" w:space="0"/>
              <w:right w:val="nil"/>
            </w:tcBorders>
            <w:shd w:val="clear" w:color="auto" w:fill="auto"/>
            <w:vAlign w:val="center"/>
          </w:tcPr>
          <w:p w14:paraId="5BE75CE0">
            <w:pPr>
              <w:widowControl/>
              <w:wordWrap w:val="0"/>
              <w:autoSpaceDE/>
              <w:autoSpaceDN/>
              <w:jc w:val="right"/>
              <w:rPr>
                <w:color w:val="000000"/>
                <w:sz w:val="21"/>
                <w:szCs w:val="21"/>
                <w:lang w:eastAsia="zh-CN"/>
              </w:rPr>
            </w:pPr>
            <w:r>
              <w:rPr>
                <w:rFonts w:hint="eastAsia"/>
                <w:color w:val="000000"/>
                <w:sz w:val="21"/>
                <w:szCs w:val="21"/>
                <w:lang w:val="en-US" w:eastAsia="zh-CN"/>
              </w:rPr>
              <w:t xml:space="preserve">22 </w:t>
            </w:r>
          </w:p>
        </w:tc>
      </w:tr>
      <w:tr w14:paraId="4471A07D">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7BC5DADF">
            <w:pPr>
              <w:widowControl/>
              <w:autoSpaceDE/>
              <w:autoSpaceDN/>
              <w:rPr>
                <w:color w:val="000000"/>
                <w:sz w:val="21"/>
                <w:szCs w:val="21"/>
                <w:lang w:eastAsia="zh-CN"/>
              </w:rPr>
            </w:pPr>
            <w:r>
              <w:rPr>
                <w:rFonts w:hint="eastAsia"/>
                <w:color w:val="000000"/>
                <w:sz w:val="21"/>
                <w:szCs w:val="21"/>
                <w:lang w:eastAsia="zh-CN"/>
              </w:rPr>
              <w:t>安全生产应急演练次数（次）</w:t>
            </w:r>
          </w:p>
        </w:tc>
        <w:tc>
          <w:tcPr>
            <w:tcW w:w="2410" w:type="dxa"/>
            <w:tcBorders>
              <w:top w:val="nil"/>
              <w:left w:val="nil"/>
              <w:bottom w:val="single" w:color="auto" w:sz="4" w:space="0"/>
              <w:right w:val="nil"/>
            </w:tcBorders>
            <w:shd w:val="clear" w:color="auto" w:fill="auto"/>
            <w:vAlign w:val="center"/>
          </w:tcPr>
          <w:p w14:paraId="706A98B7">
            <w:pPr>
              <w:widowControl/>
              <w:wordWrap w:val="0"/>
              <w:autoSpaceDE/>
              <w:autoSpaceDN/>
              <w:jc w:val="right"/>
              <w:rPr>
                <w:color w:val="000000"/>
                <w:sz w:val="21"/>
                <w:szCs w:val="21"/>
                <w:lang w:eastAsia="zh-CN"/>
              </w:rPr>
            </w:pPr>
            <w:r>
              <w:rPr>
                <w:rFonts w:hint="eastAsia"/>
                <w:color w:val="000000"/>
                <w:sz w:val="21"/>
                <w:szCs w:val="21"/>
                <w:lang w:val="en-US" w:eastAsia="zh-CN"/>
              </w:rPr>
              <w:t xml:space="preserve">17 </w:t>
            </w:r>
          </w:p>
        </w:tc>
      </w:tr>
      <w:tr w14:paraId="1AE0098E">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5626A690">
            <w:pPr>
              <w:widowControl/>
              <w:autoSpaceDE/>
              <w:autoSpaceDN/>
              <w:rPr>
                <w:color w:val="000000"/>
                <w:sz w:val="21"/>
                <w:szCs w:val="21"/>
                <w:lang w:eastAsia="zh-CN"/>
              </w:rPr>
            </w:pPr>
            <w:r>
              <w:rPr>
                <w:rFonts w:hint="eastAsia"/>
                <w:color w:val="000000"/>
                <w:sz w:val="21"/>
                <w:szCs w:val="21"/>
                <w:lang w:eastAsia="zh-CN"/>
              </w:rPr>
              <w:t>参加安全生产应急演练人数（人）</w:t>
            </w:r>
          </w:p>
        </w:tc>
        <w:tc>
          <w:tcPr>
            <w:tcW w:w="2410" w:type="dxa"/>
            <w:tcBorders>
              <w:top w:val="nil"/>
              <w:left w:val="nil"/>
              <w:bottom w:val="single" w:color="auto" w:sz="4" w:space="0"/>
              <w:right w:val="nil"/>
            </w:tcBorders>
            <w:shd w:val="clear" w:color="auto" w:fill="auto"/>
            <w:vAlign w:val="center"/>
          </w:tcPr>
          <w:p w14:paraId="23D0C346">
            <w:pPr>
              <w:widowControl/>
              <w:autoSpaceDE/>
              <w:autoSpaceDN/>
              <w:jc w:val="right"/>
              <w:rPr>
                <w:rFonts w:hint="default"/>
                <w:color w:val="000000"/>
                <w:sz w:val="21"/>
                <w:szCs w:val="21"/>
                <w:lang w:val="en-US" w:eastAsia="zh-CN"/>
              </w:rPr>
            </w:pPr>
            <w:r>
              <w:rPr>
                <w:rFonts w:hint="eastAsia"/>
                <w:color w:val="000000"/>
                <w:sz w:val="21"/>
                <w:szCs w:val="21"/>
                <w:lang w:val="en-US" w:eastAsia="zh-CN"/>
              </w:rPr>
              <w:t>266</w:t>
            </w:r>
          </w:p>
        </w:tc>
      </w:tr>
      <w:tr w14:paraId="0F818798">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000000" w:fill="E1EEDA"/>
            <w:vAlign w:val="center"/>
          </w:tcPr>
          <w:p w14:paraId="1FDB5E1C">
            <w:pPr>
              <w:widowControl/>
              <w:autoSpaceDE/>
              <w:autoSpaceDN/>
              <w:rPr>
                <w:color w:val="000000"/>
                <w:sz w:val="21"/>
                <w:szCs w:val="21"/>
                <w:lang w:eastAsia="zh-CN"/>
              </w:rPr>
            </w:pPr>
            <w:r>
              <w:rPr>
                <w:rFonts w:hint="eastAsia"/>
                <w:color w:val="000000"/>
                <w:sz w:val="21"/>
                <w:szCs w:val="21"/>
                <w:lang w:eastAsia="zh-CN"/>
              </w:rPr>
              <w:t>社会责任</w:t>
            </w:r>
          </w:p>
        </w:tc>
        <w:tc>
          <w:tcPr>
            <w:tcW w:w="2410" w:type="dxa"/>
            <w:tcBorders>
              <w:top w:val="nil"/>
              <w:left w:val="nil"/>
              <w:bottom w:val="single" w:color="auto" w:sz="4" w:space="0"/>
              <w:right w:val="nil"/>
            </w:tcBorders>
            <w:shd w:val="clear" w:color="000000" w:fill="E1EEDA"/>
            <w:vAlign w:val="center"/>
          </w:tcPr>
          <w:p w14:paraId="3DB623A0">
            <w:pPr>
              <w:widowControl/>
              <w:autoSpaceDE/>
              <w:autoSpaceDN/>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w:t>
            </w:r>
          </w:p>
        </w:tc>
      </w:tr>
      <w:tr w14:paraId="6170D14C">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773B9D38">
            <w:pPr>
              <w:widowControl/>
              <w:autoSpaceDE/>
              <w:autoSpaceDN/>
              <w:rPr>
                <w:color w:val="000000"/>
                <w:sz w:val="21"/>
                <w:szCs w:val="21"/>
                <w:lang w:eastAsia="zh-CN"/>
              </w:rPr>
            </w:pPr>
            <w:r>
              <w:rPr>
                <w:rFonts w:hint="eastAsia"/>
                <w:color w:val="000000"/>
                <w:sz w:val="21"/>
                <w:szCs w:val="21"/>
                <w:lang w:eastAsia="zh-CN"/>
              </w:rPr>
              <w:t>慈善捐赠（万元）</w:t>
            </w:r>
          </w:p>
        </w:tc>
        <w:tc>
          <w:tcPr>
            <w:tcW w:w="2410" w:type="dxa"/>
            <w:tcBorders>
              <w:top w:val="nil"/>
              <w:left w:val="nil"/>
              <w:bottom w:val="single" w:color="auto" w:sz="4" w:space="0"/>
              <w:right w:val="nil"/>
            </w:tcBorders>
            <w:shd w:val="clear" w:color="auto" w:fill="auto"/>
            <w:vAlign w:val="center"/>
          </w:tcPr>
          <w:p w14:paraId="450B66BA">
            <w:pPr>
              <w:widowControl/>
              <w:wordWrap w:val="0"/>
              <w:autoSpaceDE/>
              <w:autoSpaceDN/>
              <w:jc w:val="right"/>
              <w:rPr>
                <w:color w:val="000000"/>
                <w:sz w:val="21"/>
                <w:szCs w:val="21"/>
                <w:lang w:eastAsia="zh-CN"/>
              </w:rPr>
            </w:pPr>
            <w:r>
              <w:rPr>
                <w:rFonts w:hint="eastAsia"/>
                <w:color w:val="000000"/>
                <w:sz w:val="21"/>
                <w:szCs w:val="21"/>
                <w:lang w:val="en-US" w:eastAsia="zh-CN"/>
              </w:rPr>
              <w:t xml:space="preserve">600000 </w:t>
            </w:r>
          </w:p>
        </w:tc>
      </w:tr>
      <w:tr w14:paraId="540F836A">
        <w:tblPrEx>
          <w:tblCellMar>
            <w:top w:w="0" w:type="dxa"/>
            <w:left w:w="108" w:type="dxa"/>
            <w:bottom w:w="0" w:type="dxa"/>
            <w:right w:w="108" w:type="dxa"/>
          </w:tblCellMar>
        </w:tblPrEx>
        <w:trPr>
          <w:trHeight w:val="522" w:hRule="atLeast"/>
        </w:trPr>
        <w:tc>
          <w:tcPr>
            <w:tcW w:w="6378" w:type="dxa"/>
            <w:tcBorders>
              <w:top w:val="nil"/>
              <w:left w:val="nil"/>
              <w:bottom w:val="single" w:color="auto" w:sz="4" w:space="0"/>
              <w:right w:val="single" w:color="auto" w:sz="4" w:space="0"/>
            </w:tcBorders>
            <w:shd w:val="clear" w:color="auto" w:fill="auto"/>
            <w:vAlign w:val="center"/>
          </w:tcPr>
          <w:p w14:paraId="401A47BF">
            <w:pPr>
              <w:widowControl/>
              <w:autoSpaceDE/>
              <w:autoSpaceDN/>
              <w:rPr>
                <w:color w:val="000000"/>
                <w:sz w:val="21"/>
                <w:szCs w:val="21"/>
                <w:lang w:eastAsia="zh-CN"/>
              </w:rPr>
            </w:pPr>
            <w:r>
              <w:rPr>
                <w:rFonts w:hint="eastAsia"/>
                <w:color w:val="000000"/>
                <w:sz w:val="21"/>
                <w:szCs w:val="21"/>
                <w:lang w:eastAsia="zh-CN"/>
              </w:rPr>
              <w:t>志愿服务次数（次）</w:t>
            </w:r>
          </w:p>
        </w:tc>
        <w:tc>
          <w:tcPr>
            <w:tcW w:w="2410" w:type="dxa"/>
            <w:tcBorders>
              <w:top w:val="nil"/>
              <w:left w:val="nil"/>
              <w:bottom w:val="single" w:color="auto" w:sz="4" w:space="0"/>
              <w:right w:val="nil"/>
            </w:tcBorders>
            <w:shd w:val="clear" w:color="auto" w:fill="auto"/>
            <w:vAlign w:val="center"/>
          </w:tcPr>
          <w:p w14:paraId="4B3F3CE2">
            <w:pPr>
              <w:widowControl/>
              <w:wordWrap w:val="0"/>
              <w:autoSpaceDE/>
              <w:autoSpaceDN/>
              <w:jc w:val="right"/>
              <w:rPr>
                <w:color w:val="000000"/>
                <w:sz w:val="21"/>
                <w:szCs w:val="21"/>
                <w:lang w:eastAsia="zh-CN"/>
              </w:rPr>
            </w:pPr>
            <w:r>
              <w:rPr>
                <w:rFonts w:hint="eastAsia"/>
                <w:color w:val="000000"/>
                <w:sz w:val="21"/>
                <w:szCs w:val="21"/>
                <w:lang w:val="en-US" w:eastAsia="zh-CN"/>
              </w:rPr>
              <w:t>6</w:t>
            </w:r>
          </w:p>
        </w:tc>
      </w:tr>
    </w:tbl>
    <w:p w14:paraId="4D9ED1E2">
      <w:pPr>
        <w:rPr>
          <w:lang w:eastAsia="zh-CN"/>
        </w:rPr>
      </w:pPr>
    </w:p>
    <w:p w14:paraId="5150D16C">
      <w:pPr>
        <w:ind w:right="865" w:rightChars="393"/>
        <w:jc w:val="right"/>
        <w:rPr>
          <w:lang w:eastAsia="zh-CN"/>
        </w:rPr>
      </w:pPr>
      <w:r>
        <w:rPr>
          <w:rFonts w:hint="eastAsia"/>
          <w:lang w:eastAsia="zh-CN"/>
        </w:rPr>
        <w:t>注：</w:t>
      </w:r>
      <w:r>
        <w:rPr>
          <w:color w:val="585858"/>
          <w:spacing w:val="-7"/>
          <w:lang w:eastAsia="zh-CN"/>
        </w:rPr>
        <w:t xml:space="preserve">上述数据如与公司 </w:t>
      </w:r>
      <w:r>
        <w:rPr>
          <w:rFonts w:hint="eastAsia"/>
          <w:color w:val="585858"/>
          <w:spacing w:val="-1"/>
          <w:lang w:eastAsia="zh-CN"/>
        </w:rPr>
        <w:t>2023</w:t>
      </w:r>
      <w:r>
        <w:rPr>
          <w:color w:val="585858"/>
          <w:spacing w:val="-8"/>
          <w:lang w:eastAsia="zh-CN"/>
        </w:rPr>
        <w:t xml:space="preserve"> 年年度报告有出入，请以</w:t>
      </w:r>
      <w:bookmarkStart w:id="61" w:name="_GoBack"/>
      <w:r>
        <w:rPr>
          <w:color w:val="585858"/>
          <w:spacing w:val="-8"/>
          <w:lang w:eastAsia="zh-CN"/>
        </w:rPr>
        <w:t>年</w:t>
      </w:r>
      <w:bookmarkEnd w:id="61"/>
      <w:r>
        <w:rPr>
          <w:color w:val="585858"/>
          <w:spacing w:val="-8"/>
          <w:lang w:eastAsia="zh-CN"/>
        </w:rPr>
        <w:t>度报告为准。</w:t>
      </w:r>
    </w:p>
    <w:sectPr>
      <w:pgSz w:w="11906" w:h="16838"/>
      <w:pgMar w:top="1440" w:right="454" w:bottom="1440" w:left="238" w:header="283"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798737"/>
      <w:docPartObj>
        <w:docPartGallery w:val="autotext"/>
      </w:docPartObj>
    </w:sdtPr>
    <w:sdtContent>
      <w:p w14:paraId="12D31037">
        <w:pPr>
          <w:pStyle w:val="6"/>
          <w:jc w:val="center"/>
        </w:pPr>
        <w:r>
          <w:fldChar w:fldCharType="begin"/>
        </w:r>
        <w:r>
          <w:instrText xml:space="preserve">PAGE   \* MERGEFORMAT</w:instrText>
        </w:r>
        <w:r>
          <w:fldChar w:fldCharType="separate"/>
        </w:r>
        <w:r>
          <w:rPr>
            <w:lang w:val="zh-CN" w:eastAsia="zh-CN"/>
          </w:rPr>
          <w:t>2</w:t>
        </w:r>
        <w:r>
          <w:fldChar w:fldCharType="end"/>
        </w:r>
      </w:p>
    </w:sdtContent>
  </w:sdt>
  <w:p w14:paraId="5D171F99">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347772"/>
      <w:docPartObj>
        <w:docPartGallery w:val="autotext"/>
      </w:docPartObj>
    </w:sdtPr>
    <w:sdtContent>
      <w:p w14:paraId="72A51E3A">
        <w:pPr>
          <w:pStyle w:val="6"/>
          <w:jc w:val="center"/>
        </w:pPr>
        <w:r>
          <w:fldChar w:fldCharType="begin"/>
        </w:r>
        <w:r>
          <w:instrText xml:space="preserve">PAGE   \* MERGEFORMAT</w:instrText>
        </w:r>
        <w:r>
          <w:fldChar w:fldCharType="separate"/>
        </w:r>
        <w:r>
          <w:rPr>
            <w:lang w:val="zh-CN" w:eastAsia="zh-CN"/>
          </w:rPr>
          <w:t>2</w:t>
        </w:r>
        <w:r>
          <w:fldChar w:fldCharType="end"/>
        </w:r>
      </w:p>
    </w:sdtContent>
  </w:sdt>
  <w:p w14:paraId="75E7538B">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AD25">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3712210</wp:posOffset>
              </wp:positionH>
              <wp:positionV relativeFrom="page">
                <wp:posOffset>9936480</wp:posOffset>
              </wp:positionV>
              <wp:extent cx="134620" cy="139700"/>
              <wp:effectExtent l="0" t="0" r="0" b="0"/>
              <wp:wrapNone/>
              <wp:docPr id="2138669381"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wps:spPr>
                    <wps:txbx>
                      <w:txbxContent>
                        <w:p w14:paraId="791D6226">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36" o:spid="_x0000_s1026" o:spt="202" type="#_x0000_t202" style="position:absolute;left:0pt;margin-left:292.3pt;margin-top:782.4pt;height:11pt;width:10.6pt;mso-position-horizontal-relative:page;mso-position-vertical-relative:page;z-index:-251657216;mso-width-relative:page;mso-height-relative:page;" filled="f" stroked="f" coordsize="21600,21600" o:gfxdata="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mREWNoAAAANAQAADwAAAAAAAAABACAAAAAiAAAA&#10;ZHJzL2Rvd25yZXYueG1sUEsBAhQAFAAAAAgAh07iQL16WzQFAgAADQQAAA4AAAAAAAAAAQAgAAAA&#10;KQEAAGRycy9lMm9Eb2MueG1sUEsFBgAAAAAGAAYAWQEAAKAFAAAAAA==&#10;">
              <v:fill on="f" focussize="0,0"/>
              <v:stroke on="f"/>
              <v:imagedata o:title=""/>
              <o:lock v:ext="edit" aspectratio="f"/>
              <v:textbox inset="0mm,0mm,0mm,0mm">
                <w:txbxContent>
                  <w:p w14:paraId="791D6226">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8061727"/>
      <w:docPartObj>
        <w:docPartGallery w:val="autotext"/>
      </w:docPartObj>
    </w:sdtPr>
    <w:sdtContent>
      <w:p w14:paraId="60722CED">
        <w:pPr>
          <w:pStyle w:val="6"/>
          <w:jc w:val="center"/>
        </w:pPr>
        <w:r>
          <w:fldChar w:fldCharType="begin"/>
        </w:r>
        <w:r>
          <w:instrText xml:space="preserve">PAGE   \* MERGEFORMAT</w:instrText>
        </w:r>
        <w:r>
          <w:fldChar w:fldCharType="separate"/>
        </w:r>
        <w:r>
          <w:rPr>
            <w:lang w:val="zh-CN" w:eastAsia="zh-CN"/>
          </w:rPr>
          <w:t>2</w:t>
        </w:r>
        <w:r>
          <w:fldChar w:fldCharType="end"/>
        </w:r>
      </w:p>
    </w:sdtContent>
  </w:sdt>
  <w:p w14:paraId="2F01916C">
    <w:pPr>
      <w:pStyle w:val="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6C05">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3683635</wp:posOffset>
              </wp:positionH>
              <wp:positionV relativeFrom="page">
                <wp:posOffset>9936480</wp:posOffset>
              </wp:positionV>
              <wp:extent cx="192405" cy="139700"/>
              <wp:effectExtent l="0" t="0" r="0" b="0"/>
              <wp:wrapNone/>
              <wp:docPr id="34424336" name="Text Box 88"/>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14:paraId="21D64CDC">
                          <w:pPr>
                            <w:spacing w:line="203" w:lineRule="exact"/>
                            <w:ind w:left="60"/>
                            <w:rPr>
                              <w:rFonts w:ascii="Calibri"/>
                              <w:sz w:val="18"/>
                              <w:lang w:eastAsia="zh-CN"/>
                            </w:rPr>
                          </w:pPr>
                          <w:r>
                            <w:rPr>
                              <w:rFonts w:hint="eastAsia" w:ascii="Calibri"/>
                              <w:sz w:val="18"/>
                              <w:lang w:eastAsia="zh-CN"/>
                            </w:rPr>
                            <w:t>8</w:t>
                          </w:r>
                        </w:p>
                      </w:txbxContent>
                    </wps:txbx>
                    <wps:bodyPr rot="0" vert="horz" wrap="square" lIns="0" tIns="0" rIns="0" bIns="0" anchor="t" anchorCtr="0" upright="1">
                      <a:noAutofit/>
                    </wps:bodyPr>
                  </wps:wsp>
                </a:graphicData>
              </a:graphic>
            </wp:anchor>
          </w:drawing>
        </mc:Choice>
        <mc:Fallback>
          <w:pict>
            <v:shape id="Text Box 88" o:spid="_x0000_s1026" o:spt="202" type="#_x0000_t202" style="position:absolute;left:0pt;margin-left:290.05pt;margin-top:782.4pt;height:11pt;width:15.15pt;mso-position-horizontal-relative:page;mso-position-vertical-relative:page;z-index:-251656192;mso-width-relative:page;mso-height-relative:page;" filled="f" stroked="f" coordsize="21600,21600" o:gfxdata="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3QUgtoAAAANAQAADwAAAAAAAAABACAAAAAiAAAA&#10;ZHJzL2Rvd25yZXYueG1sUEsBAhQAFAAAAAgAh07iQBRJV90FAgAACwQAAA4AAAAAAAAAAQAgAAAA&#10;KQEAAGRycy9lMm9Eb2MueG1sUEsFBgAAAAAGAAYAWQEAAKAFAAAAAA==&#10;">
              <v:fill on="f" focussize="0,0"/>
              <v:stroke on="f"/>
              <v:imagedata o:title=""/>
              <o:lock v:ext="edit" aspectratio="f"/>
              <v:textbox inset="0mm,0mm,0mm,0mm">
                <w:txbxContent>
                  <w:p w14:paraId="21D64CDC">
                    <w:pPr>
                      <w:spacing w:line="203" w:lineRule="exact"/>
                      <w:ind w:left="60"/>
                      <w:rPr>
                        <w:rFonts w:ascii="Calibri"/>
                        <w:sz w:val="18"/>
                        <w:lang w:eastAsia="zh-CN"/>
                      </w:rPr>
                    </w:pPr>
                    <w:r>
                      <w:rPr>
                        <w:rFonts w:hint="eastAsia" w:ascii="Calibri"/>
                        <w:sz w:val="18"/>
                        <w:lang w:eastAsia="zh-CN"/>
                      </w:rPr>
                      <w:t>8</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ED843">
    <w:pPr>
      <w:pStyle w:val="7"/>
      <w:rPr>
        <w:lang w:eastAsia="zh-CN"/>
      </w:rPr>
    </w:pPr>
    <w:r>
      <w:rPr>
        <w:rFonts w:hint="eastAsia"/>
        <w:lang w:eastAsia="zh-CN"/>
      </w:rPr>
      <w:drawing>
        <wp:inline distT="0" distB="0" distL="114300" distR="114300">
          <wp:extent cx="1183005" cy="429260"/>
          <wp:effectExtent l="0" t="0" r="10795" b="2540"/>
          <wp:docPr id="1" name="图片 1" descr="泰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泰际"/>
                  <pic:cNvPicPr>
                    <a:picLocks noChangeAspect="1"/>
                  </pic:cNvPicPr>
                </pic:nvPicPr>
                <pic:blipFill>
                  <a:blip r:embed="rId1"/>
                  <a:stretch>
                    <a:fillRect/>
                  </a:stretch>
                </pic:blipFill>
                <pic:spPr>
                  <a:xfrm>
                    <a:off x="0" y="0"/>
                    <a:ext cx="1183005" cy="429260"/>
                  </a:xfrm>
                  <a:prstGeom prst="rect">
                    <a:avLst/>
                  </a:prstGeom>
                </pic:spPr>
              </pic:pic>
            </a:graphicData>
          </a:graphic>
        </wp:inline>
      </w:drawing>
    </w:r>
    <w:r>
      <w:rPr>
        <w:rFonts w:hint="eastAsia"/>
        <w:lang w:eastAsia="zh-CN"/>
      </w:rPr>
      <w:t xml:space="preserve"> </w:t>
    </w:r>
    <w:r>
      <w:rPr>
        <w:lang w:eastAsia="zh-CN"/>
      </w:rPr>
      <w:t xml:space="preserve">                                 </w:t>
    </w:r>
    <w:r>
      <w:rPr>
        <w:rFonts w:hint="eastAsia" w:ascii="Arial" w:hAnsi="Arial" w:cs="Arial"/>
        <w:spacing w:val="-3"/>
        <w:lang w:val="en-GB" w:eastAsia="zh-CN"/>
      </w:rPr>
      <w:t>江苏</w:t>
    </w:r>
    <w:r>
      <w:rPr>
        <w:rFonts w:hint="eastAsia" w:ascii="Arial" w:hAnsi="Arial" w:cs="Arial"/>
        <w:spacing w:val="-3"/>
        <w:lang w:val="en-US" w:eastAsia="zh-CN"/>
      </w:rPr>
      <w:t>泰际</w:t>
    </w:r>
    <w:r>
      <w:rPr>
        <w:rFonts w:hint="eastAsia" w:ascii="Arial" w:hAnsi="Arial" w:cs="Arial"/>
        <w:spacing w:val="-3"/>
        <w:lang w:val="en-GB" w:eastAsia="zh-CN"/>
      </w:rPr>
      <w:t>材料科技有限公司</w:t>
    </w:r>
    <w:r>
      <w:rPr>
        <w:rFonts w:hint="eastAsia"/>
        <w:lang w:eastAsia="zh-CN"/>
      </w:rPr>
      <w:t>2023</w:t>
    </w:r>
    <w:r>
      <w:rPr>
        <w:spacing w:val="-7"/>
        <w:lang w:eastAsia="zh-CN"/>
      </w:rPr>
      <w:t xml:space="preserve"> 年度企业社会责任报告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E569">
    <w:pPr>
      <w:pStyle w:val="7"/>
      <w:rPr>
        <w:lang w:eastAsia="zh-CN"/>
      </w:rPr>
    </w:pPr>
    <w:r>
      <w:rPr>
        <w:rFonts w:hint="eastAsia"/>
        <w:lang w:eastAsia="zh-CN"/>
      </w:rPr>
      <w:drawing>
        <wp:inline distT="0" distB="0" distL="114300" distR="114300">
          <wp:extent cx="1085850" cy="393700"/>
          <wp:effectExtent l="0" t="0" r="6350" b="0"/>
          <wp:docPr id="5" name="图片 5" descr="泰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泰际"/>
                  <pic:cNvPicPr>
                    <a:picLocks noChangeAspect="1"/>
                  </pic:cNvPicPr>
                </pic:nvPicPr>
                <pic:blipFill>
                  <a:blip r:embed="rId1"/>
                  <a:stretch>
                    <a:fillRect/>
                  </a:stretch>
                </pic:blipFill>
                <pic:spPr>
                  <a:xfrm>
                    <a:off x="0" y="0"/>
                    <a:ext cx="1085850" cy="393700"/>
                  </a:xfrm>
                  <a:prstGeom prst="rect">
                    <a:avLst/>
                  </a:prstGeom>
                </pic:spPr>
              </pic:pic>
            </a:graphicData>
          </a:graphic>
        </wp:inline>
      </w:drawing>
    </w:r>
    <w:r>
      <w:rPr>
        <w:rFonts w:hint="eastAsia"/>
        <w:lang w:eastAsia="zh-CN"/>
      </w:rPr>
      <w:t xml:space="preserve"> </w:t>
    </w:r>
    <w:r>
      <w:rPr>
        <w:lang w:eastAsia="zh-CN"/>
      </w:rPr>
      <w:t xml:space="preserve">                                 </w:t>
    </w:r>
    <w:r>
      <w:rPr>
        <w:rFonts w:hint="eastAsia" w:ascii="Arial" w:hAnsi="Arial" w:cs="Arial"/>
        <w:spacing w:val="-3"/>
        <w:lang w:val="en-GB" w:eastAsia="zh-CN"/>
      </w:rPr>
      <w:t>江苏泰际材料科技有限公司</w:t>
    </w:r>
    <w:r>
      <w:rPr>
        <w:rFonts w:hint="eastAsia"/>
        <w:lang w:eastAsia="zh-CN"/>
      </w:rPr>
      <w:t>2023</w:t>
    </w:r>
    <w:r>
      <w:rPr>
        <w:spacing w:val="-7"/>
        <w:lang w:eastAsia="zh-CN"/>
      </w:rPr>
      <w:t xml:space="preserve"> 年度企业社会责任报告</w:t>
    </w:r>
  </w:p>
  <w:p w14:paraId="3648CEED">
    <w:pPr>
      <w:pStyle w:val="7"/>
      <w:rPr>
        <w:lang w:eastAsia="zh-CN"/>
      </w:rPr>
    </w:pPr>
    <w:r>
      <w:rPr>
        <w:rFonts w:hint="eastAsia"/>
        <w:lang w:eastAsia="zh-CN"/>
      </w:rPr>
      <w:t xml:space="preserve"> </w:t>
    </w:r>
    <w:r>
      <w:rPr>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E4D">
    <w:pPr>
      <w:pStyle w:val="7"/>
      <w:rPr>
        <w:lang w:eastAsia="zh-CN"/>
      </w:rPr>
    </w:pPr>
    <w:r>
      <w:rPr>
        <w:rFonts w:hint="eastAsia"/>
        <w:lang w:eastAsia="zh-CN"/>
      </w:rPr>
      <w:t xml:space="preserve"> </w:t>
    </w:r>
    <w:r>
      <w:rPr>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3EC9">
    <w:pPr>
      <w:pStyle w:val="7"/>
      <w:rPr>
        <w:lang w:eastAsia="zh-CN"/>
      </w:rPr>
    </w:pPr>
    <w:r>
      <w:rPr>
        <w:rFonts w:hint="eastAsia"/>
        <w:lang w:eastAsia="zh-CN"/>
      </w:rPr>
      <w:drawing>
        <wp:inline distT="0" distB="0" distL="114300" distR="114300">
          <wp:extent cx="1085850" cy="393700"/>
          <wp:effectExtent l="0" t="0" r="6350" b="0"/>
          <wp:docPr id="6" name="图片 6" descr="泰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泰际"/>
                  <pic:cNvPicPr>
                    <a:picLocks noChangeAspect="1"/>
                  </pic:cNvPicPr>
                </pic:nvPicPr>
                <pic:blipFill>
                  <a:blip r:embed="rId1"/>
                  <a:stretch>
                    <a:fillRect/>
                  </a:stretch>
                </pic:blipFill>
                <pic:spPr>
                  <a:xfrm>
                    <a:off x="0" y="0"/>
                    <a:ext cx="1085850" cy="393700"/>
                  </a:xfrm>
                  <a:prstGeom prst="rect">
                    <a:avLst/>
                  </a:prstGeom>
                </pic:spPr>
              </pic:pic>
            </a:graphicData>
          </a:graphic>
        </wp:inline>
      </w:drawing>
    </w:r>
    <w:r>
      <w:rPr>
        <w:rFonts w:hint="eastAsia"/>
        <w:lang w:eastAsia="zh-CN"/>
      </w:rPr>
      <w:t xml:space="preserve"> </w:t>
    </w:r>
    <w:r>
      <w:rPr>
        <w:lang w:eastAsia="zh-CN"/>
      </w:rPr>
      <w:t xml:space="preserve">                                 </w:t>
    </w:r>
    <w:r>
      <w:rPr>
        <w:rFonts w:hint="eastAsia" w:ascii="Arial" w:hAnsi="Arial" w:cs="Arial"/>
        <w:spacing w:val="-3"/>
        <w:lang w:val="en-GB" w:eastAsia="zh-CN"/>
      </w:rPr>
      <w:t>江苏泰际材料科技有限公司</w:t>
    </w:r>
    <w:r>
      <w:rPr>
        <w:rFonts w:hint="eastAsia"/>
        <w:lang w:eastAsia="zh-CN"/>
      </w:rPr>
      <w:t>2023</w:t>
    </w:r>
    <w:r>
      <w:rPr>
        <w:spacing w:val="-7"/>
        <w:lang w:eastAsia="zh-CN"/>
      </w:rPr>
      <w:t xml:space="preserve"> 年度企业社会责任报告</w:t>
    </w:r>
  </w:p>
  <w:p w14:paraId="0B8286CE">
    <w:pPr>
      <w:pStyle w:val="5"/>
      <w:spacing w:line="14" w:lineRule="auto"/>
      <w:rPr>
        <w:sz w:val="20"/>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1CAD">
    <w:pPr>
      <w:pStyle w:val="5"/>
      <w:spacing w:line="14" w:lineRule="auto"/>
      <w:rPr>
        <w:sz w:val="20"/>
        <w:lang w:eastAsia="zh-CN"/>
      </w:rPr>
    </w:pPr>
    <w:r>
      <w:rPr>
        <w:rFonts w:hint="eastAsia"/>
        <w:lang w:eastAsia="zh-CN"/>
      </w:rPr>
      <w:t xml:space="preserve"> </w:t>
    </w:r>
    <w:r>
      <w:rPr>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D7541"/>
    <w:multiLevelType w:val="multilevel"/>
    <w:tmpl w:val="306D7541"/>
    <w:lvl w:ilvl="0" w:tentative="0">
      <w:start w:val="1"/>
      <w:numFmt w:val="decimalZero"/>
      <w:lvlText w:val="%1"/>
      <w:lvlJc w:val="left"/>
      <w:pPr>
        <w:ind w:left="2481" w:hanging="905"/>
      </w:pPr>
      <w:rPr>
        <w:rFonts w:hint="default" w:ascii="Times New Roman" w:hAnsi="Times New Roman" w:eastAsia="Times New Roman" w:cs="Times New Roman"/>
        <w:b/>
        <w:bCs/>
        <w:color w:val="0000CC"/>
        <w:spacing w:val="0"/>
        <w:w w:val="100"/>
        <w:sz w:val="72"/>
        <w:szCs w:val="72"/>
        <w:u w:val="single"/>
        <w:lang w:val="en-US" w:eastAsia="en-US" w:bidi="ar-SA"/>
      </w:rPr>
    </w:lvl>
    <w:lvl w:ilvl="1" w:tentative="0">
      <w:start w:val="0"/>
      <w:numFmt w:val="bullet"/>
      <w:lvlText w:val="•"/>
      <w:lvlJc w:val="left"/>
      <w:pPr>
        <w:ind w:left="3422" w:hanging="905"/>
      </w:pPr>
      <w:rPr>
        <w:rFonts w:hint="default"/>
        <w:lang w:val="en-US" w:eastAsia="en-US" w:bidi="ar-SA"/>
      </w:rPr>
    </w:lvl>
    <w:lvl w:ilvl="2" w:tentative="0">
      <w:start w:val="0"/>
      <w:numFmt w:val="bullet"/>
      <w:lvlText w:val="•"/>
      <w:lvlJc w:val="left"/>
      <w:pPr>
        <w:ind w:left="4365" w:hanging="905"/>
      </w:pPr>
      <w:rPr>
        <w:rFonts w:hint="default"/>
        <w:lang w:val="en-US" w:eastAsia="en-US" w:bidi="ar-SA"/>
      </w:rPr>
    </w:lvl>
    <w:lvl w:ilvl="3" w:tentative="0">
      <w:start w:val="0"/>
      <w:numFmt w:val="bullet"/>
      <w:lvlText w:val="•"/>
      <w:lvlJc w:val="left"/>
      <w:pPr>
        <w:ind w:left="5307" w:hanging="905"/>
      </w:pPr>
      <w:rPr>
        <w:rFonts w:hint="default"/>
        <w:lang w:val="en-US" w:eastAsia="en-US" w:bidi="ar-SA"/>
      </w:rPr>
    </w:lvl>
    <w:lvl w:ilvl="4" w:tentative="0">
      <w:start w:val="0"/>
      <w:numFmt w:val="bullet"/>
      <w:lvlText w:val="•"/>
      <w:lvlJc w:val="left"/>
      <w:pPr>
        <w:ind w:left="6250" w:hanging="905"/>
      </w:pPr>
      <w:rPr>
        <w:rFonts w:hint="default"/>
        <w:lang w:val="en-US" w:eastAsia="en-US" w:bidi="ar-SA"/>
      </w:rPr>
    </w:lvl>
    <w:lvl w:ilvl="5" w:tentative="0">
      <w:start w:val="0"/>
      <w:numFmt w:val="bullet"/>
      <w:lvlText w:val="•"/>
      <w:lvlJc w:val="left"/>
      <w:pPr>
        <w:ind w:left="7193" w:hanging="905"/>
      </w:pPr>
      <w:rPr>
        <w:rFonts w:hint="default"/>
        <w:lang w:val="en-US" w:eastAsia="en-US" w:bidi="ar-SA"/>
      </w:rPr>
    </w:lvl>
    <w:lvl w:ilvl="6" w:tentative="0">
      <w:start w:val="0"/>
      <w:numFmt w:val="bullet"/>
      <w:lvlText w:val="•"/>
      <w:lvlJc w:val="left"/>
      <w:pPr>
        <w:ind w:left="8135" w:hanging="905"/>
      </w:pPr>
      <w:rPr>
        <w:rFonts w:hint="default"/>
        <w:lang w:val="en-US" w:eastAsia="en-US" w:bidi="ar-SA"/>
      </w:rPr>
    </w:lvl>
    <w:lvl w:ilvl="7" w:tentative="0">
      <w:start w:val="0"/>
      <w:numFmt w:val="bullet"/>
      <w:lvlText w:val="•"/>
      <w:lvlJc w:val="left"/>
      <w:pPr>
        <w:ind w:left="9078" w:hanging="905"/>
      </w:pPr>
      <w:rPr>
        <w:rFonts w:hint="default"/>
        <w:lang w:val="en-US" w:eastAsia="en-US" w:bidi="ar-SA"/>
      </w:rPr>
    </w:lvl>
    <w:lvl w:ilvl="8" w:tentative="0">
      <w:start w:val="0"/>
      <w:numFmt w:val="bullet"/>
      <w:lvlText w:val="•"/>
      <w:lvlJc w:val="left"/>
      <w:pPr>
        <w:ind w:left="10020" w:hanging="905"/>
      </w:pPr>
      <w:rPr>
        <w:rFonts w:hint="default"/>
        <w:lang w:val="en-US" w:eastAsia="en-US" w:bidi="ar-SA"/>
      </w:rPr>
    </w:lvl>
  </w:abstractNum>
  <w:abstractNum w:abstractNumId="1">
    <w:nsid w:val="700C3FD8"/>
    <w:multiLevelType w:val="multilevel"/>
    <w:tmpl w:val="700C3FD8"/>
    <w:lvl w:ilvl="0" w:tentative="0">
      <w:start w:val="1"/>
      <w:numFmt w:val="decimal"/>
      <w:lvlText w:val="%1"/>
      <w:lvlJc w:val="left"/>
      <w:pPr>
        <w:ind w:left="2068" w:hanging="492"/>
      </w:pPr>
      <w:rPr>
        <w:rFonts w:hint="default"/>
        <w:lang w:val="en-US" w:eastAsia="en-US" w:bidi="ar-SA"/>
      </w:rPr>
    </w:lvl>
    <w:lvl w:ilvl="1" w:tentative="0">
      <w:start w:val="1"/>
      <w:numFmt w:val="decimal"/>
      <w:lvlText w:val="%1.%2"/>
      <w:lvlJc w:val="left"/>
      <w:pPr>
        <w:ind w:left="2068" w:hanging="492"/>
      </w:pPr>
      <w:rPr>
        <w:rFonts w:hint="default" w:ascii="Microsoft YaHei UI" w:hAnsi="Microsoft YaHei UI" w:eastAsia="Microsoft YaHei UI" w:cs="Microsoft YaHei UI"/>
        <w:b/>
        <w:bCs/>
        <w:color w:val="0000CC"/>
        <w:spacing w:val="0"/>
        <w:w w:val="81"/>
        <w:sz w:val="28"/>
        <w:szCs w:val="28"/>
        <w:lang w:val="en-US" w:eastAsia="en-US" w:bidi="ar-SA"/>
      </w:rPr>
    </w:lvl>
    <w:lvl w:ilvl="2" w:tentative="0">
      <w:start w:val="0"/>
      <w:numFmt w:val="bullet"/>
      <w:lvlText w:val="•"/>
      <w:lvlJc w:val="left"/>
      <w:pPr>
        <w:ind w:left="4029" w:hanging="492"/>
      </w:pPr>
      <w:rPr>
        <w:rFonts w:hint="default"/>
        <w:lang w:val="en-US" w:eastAsia="en-US" w:bidi="ar-SA"/>
      </w:rPr>
    </w:lvl>
    <w:lvl w:ilvl="3" w:tentative="0">
      <w:start w:val="0"/>
      <w:numFmt w:val="bullet"/>
      <w:lvlText w:val="•"/>
      <w:lvlJc w:val="left"/>
      <w:pPr>
        <w:ind w:left="5013" w:hanging="492"/>
      </w:pPr>
      <w:rPr>
        <w:rFonts w:hint="default"/>
        <w:lang w:val="en-US" w:eastAsia="en-US" w:bidi="ar-SA"/>
      </w:rPr>
    </w:lvl>
    <w:lvl w:ilvl="4" w:tentative="0">
      <w:start w:val="0"/>
      <w:numFmt w:val="bullet"/>
      <w:lvlText w:val="•"/>
      <w:lvlJc w:val="left"/>
      <w:pPr>
        <w:ind w:left="5998" w:hanging="492"/>
      </w:pPr>
      <w:rPr>
        <w:rFonts w:hint="default"/>
        <w:lang w:val="en-US" w:eastAsia="en-US" w:bidi="ar-SA"/>
      </w:rPr>
    </w:lvl>
    <w:lvl w:ilvl="5" w:tentative="0">
      <w:start w:val="0"/>
      <w:numFmt w:val="bullet"/>
      <w:lvlText w:val="•"/>
      <w:lvlJc w:val="left"/>
      <w:pPr>
        <w:ind w:left="6983" w:hanging="492"/>
      </w:pPr>
      <w:rPr>
        <w:rFonts w:hint="default"/>
        <w:lang w:val="en-US" w:eastAsia="en-US" w:bidi="ar-SA"/>
      </w:rPr>
    </w:lvl>
    <w:lvl w:ilvl="6" w:tentative="0">
      <w:start w:val="0"/>
      <w:numFmt w:val="bullet"/>
      <w:lvlText w:val="•"/>
      <w:lvlJc w:val="left"/>
      <w:pPr>
        <w:ind w:left="7967" w:hanging="492"/>
      </w:pPr>
      <w:rPr>
        <w:rFonts w:hint="default"/>
        <w:lang w:val="en-US" w:eastAsia="en-US" w:bidi="ar-SA"/>
      </w:rPr>
    </w:lvl>
    <w:lvl w:ilvl="7" w:tentative="0">
      <w:start w:val="0"/>
      <w:numFmt w:val="bullet"/>
      <w:lvlText w:val="•"/>
      <w:lvlJc w:val="left"/>
      <w:pPr>
        <w:ind w:left="8952" w:hanging="492"/>
      </w:pPr>
      <w:rPr>
        <w:rFonts w:hint="default"/>
        <w:lang w:val="en-US" w:eastAsia="en-US" w:bidi="ar-SA"/>
      </w:rPr>
    </w:lvl>
    <w:lvl w:ilvl="8" w:tentative="0">
      <w:start w:val="0"/>
      <w:numFmt w:val="bullet"/>
      <w:lvlText w:val="•"/>
      <w:lvlJc w:val="left"/>
      <w:pPr>
        <w:ind w:left="9936" w:hanging="492"/>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3920AF"/>
    <w:rsid w:val="00013E9E"/>
    <w:rsid w:val="00090336"/>
    <w:rsid w:val="000967FA"/>
    <w:rsid w:val="00137289"/>
    <w:rsid w:val="00234D90"/>
    <w:rsid w:val="002C37D1"/>
    <w:rsid w:val="003472C9"/>
    <w:rsid w:val="003920AF"/>
    <w:rsid w:val="00465F0C"/>
    <w:rsid w:val="00496E7A"/>
    <w:rsid w:val="006F0EBB"/>
    <w:rsid w:val="007079DB"/>
    <w:rsid w:val="00730109"/>
    <w:rsid w:val="00775CBB"/>
    <w:rsid w:val="007B571D"/>
    <w:rsid w:val="009B1479"/>
    <w:rsid w:val="009B73FD"/>
    <w:rsid w:val="00A05FAD"/>
    <w:rsid w:val="00B257B2"/>
    <w:rsid w:val="00C40C78"/>
    <w:rsid w:val="00D10B7B"/>
    <w:rsid w:val="00D22C69"/>
    <w:rsid w:val="00D53F79"/>
    <w:rsid w:val="00DE121F"/>
    <w:rsid w:val="00E360FA"/>
    <w:rsid w:val="00F13149"/>
    <w:rsid w:val="00F21B29"/>
    <w:rsid w:val="00FD26C9"/>
    <w:rsid w:val="00FD338B"/>
    <w:rsid w:val="05A84DBE"/>
    <w:rsid w:val="074B1659"/>
    <w:rsid w:val="0D4E3C51"/>
    <w:rsid w:val="0FC022DE"/>
    <w:rsid w:val="11C6025A"/>
    <w:rsid w:val="1DCB6BF8"/>
    <w:rsid w:val="1E6F1C79"/>
    <w:rsid w:val="21A34113"/>
    <w:rsid w:val="24E35931"/>
    <w:rsid w:val="286B34B1"/>
    <w:rsid w:val="297F39EF"/>
    <w:rsid w:val="2F6B14B4"/>
    <w:rsid w:val="32006F4B"/>
    <w:rsid w:val="37055A53"/>
    <w:rsid w:val="37C52BDE"/>
    <w:rsid w:val="3DC41242"/>
    <w:rsid w:val="3FB672B0"/>
    <w:rsid w:val="47AF72C6"/>
    <w:rsid w:val="49392E6A"/>
    <w:rsid w:val="4AF3760A"/>
    <w:rsid w:val="4E992277"/>
    <w:rsid w:val="4EA8502F"/>
    <w:rsid w:val="508F3931"/>
    <w:rsid w:val="512247A5"/>
    <w:rsid w:val="519228EA"/>
    <w:rsid w:val="57001AF2"/>
    <w:rsid w:val="57272975"/>
    <w:rsid w:val="5BA159E3"/>
    <w:rsid w:val="5DF23751"/>
    <w:rsid w:val="5E826883"/>
    <w:rsid w:val="610C36C2"/>
    <w:rsid w:val="691B590A"/>
    <w:rsid w:val="69E76BF1"/>
    <w:rsid w:val="6A396731"/>
    <w:rsid w:val="6B3453A9"/>
    <w:rsid w:val="6CD209D6"/>
    <w:rsid w:val="6D022455"/>
    <w:rsid w:val="6EF72976"/>
    <w:rsid w:val="6FB73963"/>
    <w:rsid w:val="75CD2682"/>
    <w:rsid w:val="78DE6954"/>
    <w:rsid w:val="7A06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7"/>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1"/>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qFormat/>
    <w:uiPriority w:val="1"/>
    <w:rPr>
      <w:sz w:val="24"/>
      <w:szCs w:val="24"/>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toc 1"/>
    <w:basedOn w:val="1"/>
    <w:qFormat/>
    <w:uiPriority w:val="39"/>
    <w:pPr>
      <w:spacing w:before="141"/>
      <w:ind w:left="2150" w:hanging="351"/>
    </w:pPr>
    <w:rPr>
      <w:sz w:val="28"/>
      <w:szCs w:val="28"/>
    </w:rPr>
  </w:style>
  <w:style w:type="paragraph" w:styleId="9">
    <w:name w:val="toc 2"/>
    <w:basedOn w:val="1"/>
    <w:qFormat/>
    <w:uiPriority w:val="39"/>
    <w:pPr>
      <w:spacing w:before="140"/>
      <w:ind w:left="2709" w:hanging="490"/>
    </w:pPr>
    <w:rPr>
      <w:sz w:val="28"/>
      <w:szCs w:val="2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qFormat/>
    <w:uiPriority w:val="99"/>
    <w:rPr>
      <w:rFonts w:ascii="宋体" w:hAnsi="宋体" w:eastAsia="宋体" w:cs="宋体"/>
      <w:kern w:val="0"/>
      <w:sz w:val="18"/>
      <w:szCs w:val="18"/>
      <w:lang w:eastAsia="en-US"/>
    </w:rPr>
  </w:style>
  <w:style w:type="character" w:customStyle="1" w:styleId="15">
    <w:name w:val="正文文本 字符"/>
    <w:basedOn w:val="12"/>
    <w:link w:val="5"/>
    <w:qFormat/>
    <w:uiPriority w:val="1"/>
    <w:rPr>
      <w:rFonts w:ascii="宋体" w:hAnsi="宋体" w:eastAsia="宋体" w:cs="宋体"/>
      <w:kern w:val="0"/>
      <w:sz w:val="24"/>
      <w:szCs w:val="24"/>
      <w:lang w:eastAsia="en-US"/>
    </w:rPr>
  </w:style>
  <w:style w:type="character" w:customStyle="1" w:styleId="16">
    <w:name w:val="页脚 字符"/>
    <w:basedOn w:val="12"/>
    <w:link w:val="6"/>
    <w:qFormat/>
    <w:uiPriority w:val="99"/>
    <w:rPr>
      <w:rFonts w:ascii="宋体" w:hAnsi="宋体" w:eastAsia="宋体" w:cs="宋体"/>
      <w:kern w:val="0"/>
      <w:sz w:val="18"/>
      <w:szCs w:val="18"/>
      <w:lang w:eastAsia="en-US"/>
    </w:rPr>
  </w:style>
  <w:style w:type="character" w:customStyle="1" w:styleId="17">
    <w:name w:val="标题 1 字符"/>
    <w:basedOn w:val="12"/>
    <w:link w:val="2"/>
    <w:qFormat/>
    <w:uiPriority w:val="1"/>
    <w:rPr>
      <w:rFonts w:ascii="宋体" w:hAnsi="宋体" w:eastAsia="宋体" w:cs="宋体"/>
      <w:b/>
      <w:bCs/>
      <w:kern w:val="44"/>
      <w:sz w:val="44"/>
      <w:szCs w:val="44"/>
      <w:lang w:eastAsia="en-US"/>
    </w:rPr>
  </w:style>
  <w:style w:type="paragraph" w:customStyle="1" w:styleId="18">
    <w:name w:val="TOC Heading"/>
    <w:basedOn w:val="2"/>
    <w:next w:val="1"/>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 w:type="character" w:customStyle="1" w:styleId="19">
    <w:name w:val="标题 3 字符"/>
    <w:basedOn w:val="12"/>
    <w:link w:val="4"/>
    <w:qFormat/>
    <w:uiPriority w:val="1"/>
    <w:rPr>
      <w:rFonts w:ascii="宋体" w:hAnsi="宋体" w:eastAsia="宋体" w:cs="宋体"/>
      <w:b/>
      <w:bCs/>
      <w:kern w:val="0"/>
      <w:sz w:val="32"/>
      <w:szCs w:val="32"/>
      <w:lang w:eastAsia="en-US"/>
    </w:rPr>
  </w:style>
  <w:style w:type="character" w:customStyle="1" w:styleId="20">
    <w:name w:val="标题 2 字符"/>
    <w:basedOn w:val="12"/>
    <w:link w:val="3"/>
    <w:qFormat/>
    <w:uiPriority w:val="1"/>
    <w:rPr>
      <w:rFonts w:asciiTheme="majorHAnsi" w:hAnsiTheme="majorHAnsi" w:eastAsiaTheme="majorEastAsia" w:cstheme="majorBidi"/>
      <w:b/>
      <w:bCs/>
      <w:kern w:val="0"/>
      <w:sz w:val="32"/>
      <w:szCs w:val="32"/>
      <w:lang w:eastAsia="en-US"/>
    </w:rPr>
  </w:style>
  <w:style w:type="paragraph" w:styleId="21">
    <w:name w:val="List Paragraph"/>
    <w:basedOn w:val="1"/>
    <w:qFormat/>
    <w:uiPriority w:val="1"/>
    <w:pPr>
      <w:ind w:left="2068" w:hanging="493"/>
    </w:pPr>
    <w:rPr>
      <w:rFonts w:ascii="Microsoft YaHei UI" w:hAnsi="Microsoft YaHei UI" w:eastAsia="Microsoft YaHei UI" w:cs="Microsoft YaHei UI"/>
    </w:rPr>
  </w:style>
  <w:style w:type="paragraph" w:customStyle="1" w:styleId="22">
    <w:name w:val="新正文"/>
    <w:basedOn w:val="1"/>
    <w:qFormat/>
    <w:uiPriority w:val="0"/>
    <w:pPr>
      <w:kinsoku w:val="0"/>
      <w:wordWrap w:val="0"/>
      <w:overflowPunct w:val="0"/>
      <w:adjustRightInd w:val="0"/>
      <w:snapToGrid w:val="0"/>
      <w:spacing w:line="360" w:lineRule="auto"/>
      <w:ind w:firstLine="200" w:firstLineChars="200"/>
    </w:pPr>
    <w:rPr>
      <w:rFonts w:ascii="仿宋_GB2312" w:hAnsi="仿宋_GB2312" w:eastAsia="仿宋_GB2312" w:cs="仿宋_GB2312"/>
      <w:bCs/>
      <w:sz w:val="28"/>
      <w:szCs w:val="24"/>
      <w:lang w:eastAsia="zh-CN"/>
    </w:rPr>
  </w:style>
  <w:style w:type="table" w:customStyle="1" w:styleId="23">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24">
    <w:name w:val="Table Paragraph"/>
    <w:basedOn w:val="1"/>
    <w:qFormat/>
    <w:uiPriority w:val="1"/>
    <w:pPr>
      <w:spacing w:before="1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4E2C4-0D1E-45A9-B5A8-6BEFC931B4A9}">
  <ds:schemaRefs/>
</ds:datastoreItem>
</file>

<file path=docProps/app.xml><?xml version="1.0" encoding="utf-8"?>
<Properties xmlns="http://schemas.openxmlformats.org/officeDocument/2006/extended-properties" xmlns:vt="http://schemas.openxmlformats.org/officeDocument/2006/docPropsVTypes">
  <Template>Normal</Template>
  <Pages>18</Pages>
  <Words>7969</Words>
  <Characters>8351</Characters>
  <Lines>71</Lines>
  <Paragraphs>20</Paragraphs>
  <TotalTime>26</TotalTime>
  <ScaleCrop>false</ScaleCrop>
  <LinksUpToDate>false</LinksUpToDate>
  <CharactersWithSpaces>8458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2023-11-27T06:54:00Z</dcterms:created>
  <dc:creator>高梦琪</dc:creator>
  <cp:lastModifiedBy>WPS_1614754056</cp:lastModifiedBy>
  <cp:lastPrinted>2023-11-28T05:56:00Z</cp:lastPrinted>
  <dcterms:modified xsi:type="dcterms:W3CDTF">2024-08-13T02:49:47Z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F7D24E1683FF493684F76EE47BCF95E0_12</vt:lpwstr>
  </property>
</Properties>
</file>